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9366990"/>
    <w:bookmarkEnd w:id="0"/>
    <w:p w14:paraId="0239FB21" w14:textId="2D127109" w:rsidR="00F62C4B" w:rsidRDefault="00844999" w:rsidP="00F62C4B">
      <w:pPr>
        <w:pStyle w:val="Header"/>
        <w:jc w:val="center"/>
      </w:pPr>
      <w:r>
        <w:rPr>
          <w:rFonts w:ascii="CIDFont+F4" w:hAnsi="CIDFont+F4"/>
          <w:i/>
          <w:iCs/>
          <w:noProof/>
          <w:color w:val="002060"/>
        </w:rPr>
        <mc:AlternateContent>
          <mc:Choice Requires="wps">
            <w:drawing>
              <wp:anchor distT="0" distB="0" distL="114300" distR="114300" simplePos="0" relativeHeight="251659264" behindDoc="0" locked="0" layoutInCell="1" allowOverlap="1" wp14:anchorId="721BD4A3" wp14:editId="30B1FCEF">
                <wp:simplePos x="0" y="0"/>
                <wp:positionH relativeFrom="column">
                  <wp:posOffset>-914400</wp:posOffset>
                </wp:positionH>
                <wp:positionV relativeFrom="paragraph">
                  <wp:posOffset>47625</wp:posOffset>
                </wp:positionV>
                <wp:extent cx="7569200" cy="406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69200" cy="406400"/>
                        </a:xfrm>
                        <a:prstGeom prst="rect">
                          <a:avLst/>
                        </a:prstGeom>
                        <a:noFill/>
                        <a:ln w="6350">
                          <a:noFill/>
                        </a:ln>
                      </wps:spPr>
                      <wps:txbx>
                        <w:txbxContent>
                          <w:p w14:paraId="1BCBFCB2" w14:textId="72244A32" w:rsidR="00844999" w:rsidRPr="0071216A" w:rsidRDefault="0071216A" w:rsidP="00844999">
                            <w:pPr>
                              <w:jc w:val="center"/>
                              <w:rPr>
                                <w:rFonts w:ascii="Book Antiqua" w:hAnsi="Book Antiqua"/>
                                <w:sz w:val="28"/>
                                <w:szCs w:val="28"/>
                              </w:rPr>
                            </w:pPr>
                            <w:r w:rsidRPr="0071216A">
                              <w:rPr>
                                <w:rFonts w:ascii="Bookman Old Style" w:hAnsi="Bookman Old Style"/>
                                <w:b/>
                                <w:bCs/>
                                <w:sz w:val="28"/>
                                <w:szCs w:val="28"/>
                              </w:rPr>
                              <w:t>ITC refund under inverted rate structure –retrospective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1BD4A3" id="_x0000_t202" coordsize="21600,21600" o:spt="202" path="m,l,21600r21600,l21600,xe">
                <v:stroke joinstyle="miter"/>
                <v:path gradientshapeok="t" o:connecttype="rect"/>
              </v:shapetype>
              <v:shape id="Text Box 1" o:spid="_x0000_s1026" type="#_x0000_t202" style="position:absolute;left:0;text-align:left;margin-left:-1in;margin-top:3.75pt;width:596pt;height: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" filled="f" stroked="f" strokeweight=".5pt">
                <v:textbox>
                  <w:txbxContent>
                    <w:p w14:paraId="1BCBFCB2" w14:textId="72244A32" w:rsidR="00844999" w:rsidRPr="0071216A" w:rsidRDefault="0071216A" w:rsidP="00844999">
                      <w:pPr>
                        <w:jc w:val="center"/>
                        <w:rPr>
                          <w:rFonts w:ascii="Book Antiqua" w:hAnsi="Book Antiqua"/>
                          <w:sz w:val="28"/>
                          <w:szCs w:val="28"/>
                        </w:rPr>
                      </w:pPr>
                      <w:r w:rsidRPr="0071216A">
                        <w:rPr>
                          <w:rFonts w:ascii="Bookman Old Style" w:hAnsi="Bookman Old Style"/>
                          <w:b/>
                          <w:bCs/>
                          <w:sz w:val="28"/>
                          <w:szCs w:val="28"/>
                        </w:rPr>
                        <w:t>ITC refund under inverted rate structure –retrospective application</w:t>
                      </w:r>
                    </w:p>
                  </w:txbxContent>
                </v:textbox>
              </v:shape>
            </w:pict>
          </mc:Fallback>
        </mc:AlternateContent>
      </w:r>
      <w:r w:rsidR="00F62C4B">
        <w:t xml:space="preserve"> </w:t>
      </w:r>
    </w:p>
    <w:p w14:paraId="091D1BD5" w14:textId="212F6F7F" w:rsidR="00990F6F" w:rsidRPr="00E23113" w:rsidRDefault="00990F6F" w:rsidP="00DB3816">
      <w:pPr>
        <w:spacing w:after="0" w:line="276" w:lineRule="auto"/>
        <w:jc w:val="both"/>
        <w:rPr>
          <w:rFonts w:ascii="Book Antiqua" w:hAnsi="Book Antiqua"/>
          <w:b/>
          <w:bCs/>
          <w:color w:val="002060"/>
          <w:sz w:val="24"/>
          <w:szCs w:val="24"/>
        </w:rPr>
      </w:pPr>
    </w:p>
    <w:p w14:paraId="52E14F84" w14:textId="59EAA396" w:rsidR="00DB3816" w:rsidRDefault="0093770F" w:rsidP="00334AE3">
      <w:pPr>
        <w:spacing w:after="0" w:line="276" w:lineRule="auto"/>
        <w:jc w:val="both"/>
        <w:rPr>
          <w:noProof/>
        </w:rPr>
      </w:pPr>
      <w:r w:rsidRPr="00F50900">
        <w:rPr>
          <w:rFonts w:ascii="Calibri" w:eastAsia="Times New Roman" w:hAnsi="Calibri" w:cs="Calibri"/>
          <w:noProof/>
          <w:color w:val="000000"/>
          <w:lang w:val="en-US"/>
        </w:rPr>
        <w:drawing>
          <wp:anchor distT="0" distB="0" distL="114300" distR="114300" simplePos="0" relativeHeight="251662336" behindDoc="0" locked="0" layoutInCell="1" allowOverlap="1" wp14:anchorId="384BDD21" wp14:editId="26232B9D">
            <wp:simplePos x="0" y="0"/>
            <wp:positionH relativeFrom="column">
              <wp:posOffset>321945</wp:posOffset>
            </wp:positionH>
            <wp:positionV relativeFrom="paragraph">
              <wp:posOffset>196215</wp:posOffset>
            </wp:positionV>
            <wp:extent cx="1457325" cy="1543050"/>
            <wp:effectExtent l="0" t="0" r="9525" b="0"/>
            <wp:wrapNone/>
            <wp:docPr id="6" name="Picture 6" descr="Ashish Chaudhary,">
              <a:extLst xmlns:a="http://schemas.openxmlformats.org/drawingml/2006/main">
                <a:ext uri="{FF2B5EF4-FFF2-40B4-BE49-F238E27FC236}">
                  <a16:creationId xmlns:a16="http://schemas.microsoft.com/office/drawing/2014/main" id="{069F1E24-4435-3337-4494-9462674E9345}"/>
                </a:ext>
              </a:extLst>
            </wp:docPr>
            <wp:cNvGraphicFramePr/>
            <a:graphic xmlns:a="http://schemas.openxmlformats.org/drawingml/2006/main">
              <a:graphicData uri="http://schemas.openxmlformats.org/drawingml/2006/picture">
                <pic:pic xmlns:pic="http://schemas.openxmlformats.org/drawingml/2006/picture">
                  <pic:nvPicPr>
                    <pic:cNvPr id="3" name="Picture 2" descr="Ashish Chaudhary,">
                      <a:extLst>
                        <a:ext uri="{FF2B5EF4-FFF2-40B4-BE49-F238E27FC236}">
                          <a16:creationId xmlns:a16="http://schemas.microsoft.com/office/drawing/2014/main" id="{069F1E24-4435-3337-4494-9462674E934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543050"/>
                    </a:xfrm>
                    <a:prstGeom prst="rect">
                      <a:avLst/>
                    </a:prstGeom>
                    <a:noFill/>
                  </pic:spPr>
                </pic:pic>
              </a:graphicData>
            </a:graphic>
            <wp14:sizeRelH relativeFrom="page">
              <wp14:pctWidth>0</wp14:pctWidth>
            </wp14:sizeRelH>
            <wp14:sizeRelV relativeFrom="page">
              <wp14:pctHeight>0</wp14:pctHeight>
            </wp14:sizeRelV>
          </wp:anchor>
        </w:drawing>
      </w:r>
      <w:r w:rsidR="00334AE3">
        <w:rPr>
          <w:noProof/>
        </w:rPr>
        <w:t xml:space="preserve">                                                                                             </w:t>
      </w:r>
      <w:r w:rsidR="00353847">
        <w:rPr>
          <w:noProof/>
        </w:rPr>
        <w:t xml:space="preserve">    </w:t>
      </w:r>
      <w:r w:rsidR="00334AE3">
        <w:rPr>
          <w:noProof/>
        </w:rPr>
        <w:t xml:space="preserve">                                    </w:t>
      </w:r>
    </w:p>
    <w:p w14:paraId="4C61D915" w14:textId="679BAA8C" w:rsidR="00F72EAF" w:rsidRDefault="00334AE3" w:rsidP="0093770F">
      <w:pPr>
        <w:pStyle w:val="NoSpacing"/>
        <w:rPr>
          <w:rFonts w:ascii="Book Antiqua" w:hAnsi="Book Antiqua"/>
          <w:b/>
          <w:bCs/>
          <w:color w:val="002060"/>
          <w:sz w:val="24"/>
          <w:szCs w:val="24"/>
        </w:rPr>
      </w:pPr>
      <w:r>
        <w:rPr>
          <w:noProof/>
        </w:rPr>
        <w:tab/>
      </w:r>
      <w:r>
        <w:rPr>
          <w:noProof/>
        </w:rPr>
        <w:tab/>
      </w:r>
      <w:r>
        <w:rPr>
          <w:noProof/>
        </w:rPr>
        <w:tab/>
      </w:r>
      <w:r>
        <w:rPr>
          <w:noProof/>
        </w:rPr>
        <w:tab/>
      </w:r>
      <w:r>
        <w:rPr>
          <w:noProof/>
        </w:rPr>
        <w:tab/>
      </w:r>
      <w:r>
        <w:rPr>
          <w:noProof/>
        </w:rPr>
        <w:tab/>
        <w:t xml:space="preserve">      </w:t>
      </w:r>
      <w:r w:rsidR="00353847">
        <w:rPr>
          <w:noProof/>
        </w:rPr>
        <w:t xml:space="preserve">    </w:t>
      </w:r>
      <w:r w:rsidR="00581625">
        <w:rPr>
          <w:noProof/>
        </w:rPr>
        <w:drawing>
          <wp:inline distT="0" distB="0" distL="0" distR="0" wp14:anchorId="7E580C9E" wp14:editId="4068F5AB">
            <wp:extent cx="1399540" cy="1543050"/>
            <wp:effectExtent l="0" t="0" r="0" b="0"/>
            <wp:docPr id="2" name="Picture 1" descr="A picture containing person, posing&#10;&#10;Description automatically generated">
              <a:extLst xmlns:a="http://schemas.openxmlformats.org/drawingml/2006/main">
                <a:ext uri="{FF2B5EF4-FFF2-40B4-BE49-F238E27FC236}">
                  <a16:creationId xmlns:a16="http://schemas.microsoft.com/office/drawing/2014/main" id="{6CD41D6F-7FDB-BEFF-FBE1-61A2E3240F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person, posing&#10;&#10;Description automatically generated">
                      <a:extLst>
                        <a:ext uri="{FF2B5EF4-FFF2-40B4-BE49-F238E27FC236}">
                          <a16:creationId xmlns:a16="http://schemas.microsoft.com/office/drawing/2014/main" id="{6CD41D6F-7FDB-BEFF-FBE1-61A2E3240F39}"/>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499" cy="1555133"/>
                    </a:xfrm>
                    <a:prstGeom prst="rect">
                      <a:avLst/>
                    </a:prstGeom>
                    <a:noFill/>
                  </pic:spPr>
                </pic:pic>
              </a:graphicData>
            </a:graphic>
          </wp:inline>
        </w:drawing>
      </w:r>
    </w:p>
    <w:p w14:paraId="7F4420B4" w14:textId="581D9E99" w:rsidR="00581625" w:rsidRPr="0093770F" w:rsidRDefault="0093770F" w:rsidP="0093770F">
      <w:pPr>
        <w:spacing w:after="0" w:line="276" w:lineRule="auto"/>
        <w:jc w:val="both"/>
        <w:rPr>
          <w:rFonts w:ascii="Bookman Old Style" w:hAnsi="Bookman Old Style"/>
          <w:color w:val="4472C4" w:themeColor="accent1"/>
          <w:sz w:val="20"/>
          <w:szCs w:val="20"/>
        </w:rPr>
      </w:pPr>
      <w:r>
        <w:rPr>
          <w:rFonts w:ascii="Book Antiqua" w:hAnsi="Book Antiqua"/>
          <w:b/>
          <w:bCs/>
          <w:color w:val="002060"/>
          <w:sz w:val="24"/>
          <w:szCs w:val="24"/>
        </w:rPr>
        <w:t xml:space="preserve">        </w:t>
      </w:r>
      <w:r w:rsidR="00581625" w:rsidRPr="0093770F">
        <w:rPr>
          <w:rFonts w:ascii="Bookman Old Style" w:hAnsi="Bookman Old Style"/>
          <w:color w:val="4472C4" w:themeColor="accent1"/>
          <w:sz w:val="20"/>
          <w:szCs w:val="20"/>
        </w:rPr>
        <w:t xml:space="preserve">CA Ashish Chaudhary                             </w:t>
      </w:r>
      <w:r>
        <w:rPr>
          <w:rFonts w:ascii="Bookman Old Style" w:hAnsi="Bookman Old Style"/>
          <w:color w:val="4472C4" w:themeColor="accent1"/>
          <w:sz w:val="20"/>
          <w:szCs w:val="20"/>
        </w:rPr>
        <w:t xml:space="preserve">    </w:t>
      </w:r>
      <w:r w:rsidR="00581625" w:rsidRPr="0093770F">
        <w:rPr>
          <w:rFonts w:ascii="Bookman Old Style" w:hAnsi="Bookman Old Style"/>
          <w:color w:val="4472C4" w:themeColor="accent1"/>
          <w:sz w:val="20"/>
          <w:szCs w:val="20"/>
        </w:rPr>
        <w:t>CA Pooja Jajwani</w:t>
      </w:r>
    </w:p>
    <w:p w14:paraId="73A799F7" w14:textId="3005589A" w:rsidR="00581625" w:rsidRPr="0093770F" w:rsidRDefault="00581625" w:rsidP="00581625">
      <w:pPr>
        <w:spacing w:after="0" w:line="240" w:lineRule="auto"/>
        <w:jc w:val="both"/>
        <w:rPr>
          <w:rFonts w:ascii="Bookman Old Style" w:hAnsi="Bookman Old Style"/>
          <w:color w:val="4472C4" w:themeColor="accent1"/>
          <w:sz w:val="20"/>
          <w:szCs w:val="20"/>
        </w:rPr>
      </w:pPr>
      <w:r w:rsidRPr="0093770F">
        <w:rPr>
          <w:rFonts w:ascii="Bookman Old Style" w:hAnsi="Bookman Old Style"/>
          <w:color w:val="4472C4" w:themeColor="accent1"/>
          <w:sz w:val="20"/>
          <w:szCs w:val="20"/>
        </w:rPr>
        <w:t xml:space="preserve">     </w:t>
      </w:r>
      <w:r w:rsidR="0093770F">
        <w:rPr>
          <w:rFonts w:ascii="Bookman Old Style" w:hAnsi="Bookman Old Style"/>
          <w:color w:val="4472C4" w:themeColor="accent1"/>
          <w:sz w:val="20"/>
          <w:szCs w:val="20"/>
        </w:rPr>
        <w:t xml:space="preserve">   </w:t>
      </w:r>
      <w:r w:rsidRPr="0093770F">
        <w:rPr>
          <w:rFonts w:ascii="Bookman Old Style" w:hAnsi="Bookman Old Style"/>
          <w:color w:val="4472C4" w:themeColor="accent1"/>
          <w:sz w:val="20"/>
          <w:szCs w:val="20"/>
        </w:rPr>
        <w:t xml:space="preserve">[Partner, </w:t>
      </w:r>
      <w:proofErr w:type="spellStart"/>
      <w:r w:rsidRPr="0093770F">
        <w:rPr>
          <w:rFonts w:ascii="Bookman Old Style" w:hAnsi="Bookman Old Style"/>
          <w:color w:val="4472C4" w:themeColor="accent1"/>
          <w:sz w:val="20"/>
          <w:szCs w:val="20"/>
        </w:rPr>
        <w:t>Hiregange</w:t>
      </w:r>
      <w:proofErr w:type="spellEnd"/>
      <w:r w:rsidRPr="0093770F">
        <w:rPr>
          <w:rFonts w:ascii="Bookman Old Style" w:hAnsi="Bookman Old Style"/>
          <w:color w:val="4472C4" w:themeColor="accent1"/>
          <w:sz w:val="20"/>
          <w:szCs w:val="20"/>
        </w:rPr>
        <w:t xml:space="preserve"> &amp; Associates </w:t>
      </w:r>
      <w:proofErr w:type="gramStart"/>
      <w:r w:rsidRPr="0093770F">
        <w:rPr>
          <w:rFonts w:ascii="Bookman Old Style" w:hAnsi="Bookman Old Style"/>
          <w:color w:val="4472C4" w:themeColor="accent1"/>
          <w:sz w:val="20"/>
          <w:szCs w:val="20"/>
        </w:rPr>
        <w:t xml:space="preserve">LLP]   </w:t>
      </w:r>
      <w:proofErr w:type="gramEnd"/>
      <w:r w:rsidRPr="0093770F">
        <w:rPr>
          <w:rFonts w:ascii="Bookman Old Style" w:hAnsi="Bookman Old Style"/>
          <w:color w:val="4472C4" w:themeColor="accent1"/>
          <w:sz w:val="20"/>
          <w:szCs w:val="20"/>
        </w:rPr>
        <w:t xml:space="preserve">    </w:t>
      </w:r>
      <w:r w:rsidR="0093770F">
        <w:rPr>
          <w:rFonts w:ascii="Bookman Old Style" w:hAnsi="Bookman Old Style"/>
          <w:color w:val="4472C4" w:themeColor="accent1"/>
          <w:sz w:val="20"/>
          <w:szCs w:val="20"/>
        </w:rPr>
        <w:t xml:space="preserve">  </w:t>
      </w:r>
      <w:r w:rsidRPr="0093770F">
        <w:rPr>
          <w:rFonts w:ascii="Bookman Old Style" w:hAnsi="Bookman Old Style"/>
          <w:color w:val="4472C4" w:themeColor="accent1"/>
          <w:sz w:val="20"/>
          <w:szCs w:val="20"/>
        </w:rPr>
        <w:t xml:space="preserve">[Manager, </w:t>
      </w:r>
      <w:proofErr w:type="spellStart"/>
      <w:r w:rsidRPr="0093770F">
        <w:rPr>
          <w:rFonts w:ascii="Bookman Old Style" w:hAnsi="Bookman Old Style"/>
          <w:color w:val="4472C4" w:themeColor="accent1"/>
          <w:sz w:val="20"/>
          <w:szCs w:val="20"/>
        </w:rPr>
        <w:t>Hiregange</w:t>
      </w:r>
      <w:proofErr w:type="spellEnd"/>
      <w:r w:rsidRPr="0093770F">
        <w:rPr>
          <w:rFonts w:ascii="Bookman Old Style" w:hAnsi="Bookman Old Style"/>
          <w:color w:val="4472C4" w:themeColor="accent1"/>
          <w:sz w:val="20"/>
          <w:szCs w:val="20"/>
        </w:rPr>
        <w:t xml:space="preserve"> &amp; Associates, LLP]</w:t>
      </w:r>
    </w:p>
    <w:p w14:paraId="361480F5" w14:textId="501789A0" w:rsidR="00581625" w:rsidRPr="0093770F" w:rsidRDefault="00581625" w:rsidP="00581625">
      <w:pPr>
        <w:spacing w:after="0" w:line="240" w:lineRule="auto"/>
        <w:jc w:val="both"/>
        <w:rPr>
          <w:rFonts w:ascii="Bookman Old Style" w:hAnsi="Bookman Old Style"/>
          <w:color w:val="4472C4" w:themeColor="accent1"/>
          <w:sz w:val="20"/>
          <w:szCs w:val="20"/>
        </w:rPr>
      </w:pPr>
      <w:r w:rsidRPr="0093770F">
        <w:rPr>
          <w:rFonts w:ascii="Bookman Old Style" w:hAnsi="Bookman Old Style"/>
          <w:color w:val="4472C4" w:themeColor="accent1"/>
          <w:sz w:val="20"/>
          <w:szCs w:val="20"/>
        </w:rPr>
        <w:t xml:space="preserve">     </w:t>
      </w:r>
      <w:r w:rsidR="0093770F">
        <w:rPr>
          <w:rFonts w:ascii="Bookman Old Style" w:hAnsi="Bookman Old Style"/>
          <w:color w:val="4472C4" w:themeColor="accent1"/>
          <w:sz w:val="20"/>
          <w:szCs w:val="20"/>
        </w:rPr>
        <w:t xml:space="preserve">   </w:t>
      </w:r>
      <w:r w:rsidRPr="0093770F">
        <w:rPr>
          <w:rFonts w:ascii="Bookman Old Style" w:hAnsi="Bookman Old Style"/>
          <w:color w:val="4472C4" w:themeColor="accent1"/>
          <w:sz w:val="20"/>
          <w:szCs w:val="20"/>
        </w:rPr>
        <w:t>[ashish@hiregange.com]</w:t>
      </w:r>
      <w:r w:rsidRPr="0093770F">
        <w:rPr>
          <w:rFonts w:ascii="Bookman Old Style" w:hAnsi="Bookman Old Style"/>
          <w:color w:val="4472C4" w:themeColor="accent1"/>
          <w:sz w:val="20"/>
          <w:szCs w:val="20"/>
        </w:rPr>
        <w:tab/>
      </w:r>
      <w:r w:rsidRPr="0093770F">
        <w:rPr>
          <w:rFonts w:ascii="Bookman Old Style" w:hAnsi="Bookman Old Style"/>
          <w:color w:val="4472C4" w:themeColor="accent1"/>
          <w:sz w:val="20"/>
          <w:szCs w:val="20"/>
        </w:rPr>
        <w:tab/>
        <w:t xml:space="preserve">       </w:t>
      </w:r>
      <w:r w:rsidR="0093770F">
        <w:rPr>
          <w:rFonts w:ascii="Bookman Old Style" w:hAnsi="Bookman Old Style"/>
          <w:color w:val="4472C4" w:themeColor="accent1"/>
          <w:sz w:val="20"/>
          <w:szCs w:val="20"/>
        </w:rPr>
        <w:t xml:space="preserve">         </w:t>
      </w:r>
      <w:proofErr w:type="gramStart"/>
      <w:r w:rsidR="0093770F">
        <w:rPr>
          <w:rFonts w:ascii="Bookman Old Style" w:hAnsi="Bookman Old Style"/>
          <w:color w:val="4472C4" w:themeColor="accent1"/>
          <w:sz w:val="20"/>
          <w:szCs w:val="20"/>
        </w:rPr>
        <w:t xml:space="preserve">   </w:t>
      </w:r>
      <w:r w:rsidRPr="0093770F">
        <w:rPr>
          <w:rFonts w:ascii="Bookman Old Style" w:hAnsi="Bookman Old Style"/>
          <w:color w:val="4472C4" w:themeColor="accent1"/>
          <w:sz w:val="20"/>
          <w:szCs w:val="20"/>
        </w:rPr>
        <w:t>[</w:t>
      </w:r>
      <w:proofErr w:type="gramEnd"/>
      <w:r w:rsidRPr="0093770F">
        <w:rPr>
          <w:rFonts w:ascii="Bookman Old Style" w:hAnsi="Bookman Old Style"/>
          <w:color w:val="4472C4" w:themeColor="accent1"/>
          <w:sz w:val="20"/>
          <w:szCs w:val="20"/>
        </w:rPr>
        <w:t xml:space="preserve">poojajawani@hiregange.com] </w:t>
      </w:r>
      <w:r w:rsidRPr="0093770F">
        <w:rPr>
          <w:rFonts w:ascii="Bookman Old Style" w:hAnsi="Bookman Old Style"/>
          <w:color w:val="4472C4" w:themeColor="accent1"/>
          <w:sz w:val="20"/>
          <w:szCs w:val="20"/>
        </w:rPr>
        <w:tab/>
      </w:r>
    </w:p>
    <w:p w14:paraId="714B9B05" w14:textId="194B975F" w:rsidR="00353847" w:rsidRPr="00581625" w:rsidRDefault="00581625" w:rsidP="00DB3816">
      <w:pPr>
        <w:spacing w:after="0" w:line="276" w:lineRule="auto"/>
        <w:jc w:val="both"/>
        <w:rPr>
          <w:rFonts w:ascii="Book Antiqua" w:hAnsi="Book Antiqua"/>
          <w:color w:val="002060"/>
          <w:sz w:val="24"/>
          <w:szCs w:val="24"/>
        </w:rPr>
      </w:pPr>
      <w:r w:rsidRPr="00581625">
        <w:rPr>
          <w:rFonts w:ascii="Book Antiqua" w:hAnsi="Book Antiqua"/>
          <w:color w:val="002060"/>
          <w:sz w:val="24"/>
          <w:szCs w:val="24"/>
        </w:rPr>
        <w:tab/>
      </w:r>
    </w:p>
    <w:p w14:paraId="6CA0283F" w14:textId="77777777" w:rsidR="006D596F" w:rsidRPr="006D596F" w:rsidRDefault="006D596F" w:rsidP="006D596F">
      <w:pPr>
        <w:spacing w:after="0" w:line="360" w:lineRule="auto"/>
        <w:jc w:val="both"/>
        <w:rPr>
          <w:rFonts w:ascii="Bookman Old Style" w:hAnsi="Bookman Old Style"/>
          <w:b/>
          <w:bCs/>
          <w:color w:val="4472C4" w:themeColor="accent1"/>
        </w:rPr>
      </w:pPr>
      <w:r w:rsidRPr="006D596F">
        <w:rPr>
          <w:rFonts w:ascii="Bookman Old Style" w:hAnsi="Bookman Old Style"/>
          <w:b/>
          <w:bCs/>
          <w:color w:val="4472C4" w:themeColor="accent1"/>
        </w:rPr>
        <w:t xml:space="preserve">Introduction </w:t>
      </w:r>
    </w:p>
    <w:p w14:paraId="5734EC33" w14:textId="77777777" w:rsidR="006D596F" w:rsidRPr="0052278A" w:rsidRDefault="006D596F" w:rsidP="006D596F">
      <w:pPr>
        <w:spacing w:after="0" w:line="360" w:lineRule="auto"/>
        <w:jc w:val="both"/>
        <w:rPr>
          <w:rFonts w:ascii="Bookman Old Style" w:hAnsi="Bookman Old Style"/>
        </w:rPr>
      </w:pPr>
      <w:r>
        <w:rPr>
          <w:rFonts w:ascii="Bookman Old Style" w:hAnsi="Bookman Old Style"/>
        </w:rPr>
        <w:t>Inverted duty structure refund has been subject matter of numerous interpretational issues since introduction of this concept in GST law. The Council in its 47</w:t>
      </w:r>
      <w:r w:rsidRPr="0037344A">
        <w:rPr>
          <w:rFonts w:ascii="Bookman Old Style" w:hAnsi="Bookman Old Style"/>
          <w:vertAlign w:val="superscript"/>
        </w:rPr>
        <w:t>th</w:t>
      </w:r>
      <w:r>
        <w:rPr>
          <w:rFonts w:ascii="Bookman Old Style" w:hAnsi="Bookman Old Style"/>
        </w:rPr>
        <w:t xml:space="preserve"> Meeting tweaked the formula for claiming refund. In this article, an attempt has been made to analyse the application of the amendments made in the [1] formulae prescribed for the calculation of refund of unutilized ITC accumulated due to an inverted rate structure and [2] the impact of the withdrawal of the refund benefit for certain commodities.</w:t>
      </w:r>
    </w:p>
    <w:p w14:paraId="24564F59" w14:textId="77777777" w:rsidR="006D596F" w:rsidRPr="0052278A" w:rsidRDefault="006D596F" w:rsidP="006D596F">
      <w:pPr>
        <w:spacing w:after="0" w:line="360" w:lineRule="auto"/>
        <w:jc w:val="both"/>
        <w:rPr>
          <w:rFonts w:ascii="Bookman Old Style" w:hAnsi="Bookman Old Style"/>
          <w:b/>
          <w:bCs/>
        </w:rPr>
      </w:pPr>
    </w:p>
    <w:p w14:paraId="1E2ED59D" w14:textId="77777777" w:rsidR="006D596F" w:rsidRPr="006D596F" w:rsidRDefault="006D596F" w:rsidP="006D596F">
      <w:pPr>
        <w:spacing w:after="0" w:line="360" w:lineRule="auto"/>
        <w:jc w:val="both"/>
        <w:rPr>
          <w:rFonts w:ascii="Bookman Old Style" w:hAnsi="Bookman Old Style"/>
          <w:b/>
          <w:bCs/>
          <w:color w:val="4472C4" w:themeColor="accent1"/>
        </w:rPr>
      </w:pPr>
      <w:r w:rsidRPr="006D596F">
        <w:rPr>
          <w:rFonts w:ascii="Bookman Old Style" w:hAnsi="Bookman Old Style"/>
          <w:b/>
          <w:bCs/>
          <w:color w:val="4472C4" w:themeColor="accent1"/>
        </w:rPr>
        <w:t xml:space="preserve">Refund of unutilized ITC owing to the inverted rate structure </w:t>
      </w:r>
    </w:p>
    <w:p w14:paraId="05C59811" w14:textId="77777777" w:rsidR="006D596F" w:rsidRPr="002B5EC7" w:rsidRDefault="006D596F" w:rsidP="006D596F">
      <w:pPr>
        <w:spacing w:after="0" w:line="360" w:lineRule="auto"/>
        <w:jc w:val="both"/>
        <w:rPr>
          <w:rFonts w:ascii="Bookman Old Style" w:hAnsi="Bookman Old Style"/>
        </w:rPr>
      </w:pPr>
      <w:r>
        <w:rPr>
          <w:rFonts w:ascii="Bookman Old Style" w:hAnsi="Bookman Old Style"/>
        </w:rPr>
        <w:t xml:space="preserve">Section 54(3)(ii) of the GST Act allows </w:t>
      </w:r>
      <w:r w:rsidRPr="002B5EC7">
        <w:rPr>
          <w:rFonts w:ascii="Bookman Old Style" w:hAnsi="Bookman Old Style"/>
        </w:rPr>
        <w:t xml:space="preserve">a refund of unutilized ITC accumulated on account of the GST rate on </w:t>
      </w:r>
      <w:r w:rsidRPr="002B5EC7">
        <w:rPr>
          <w:rFonts w:ascii="Bookman Old Style" w:hAnsi="Bookman Old Style"/>
          <w:b/>
          <w:bCs/>
          <w:u w:val="single"/>
        </w:rPr>
        <w:t>inputs</w:t>
      </w:r>
      <w:r w:rsidRPr="002B5EC7">
        <w:rPr>
          <w:rFonts w:ascii="Bookman Old Style" w:hAnsi="Bookman Old Style"/>
        </w:rPr>
        <w:t xml:space="preserve"> being higher than the GST rate on </w:t>
      </w:r>
      <w:r w:rsidRPr="002B5EC7">
        <w:rPr>
          <w:rFonts w:ascii="Bookman Old Style" w:hAnsi="Bookman Old Style"/>
          <w:b/>
          <w:bCs/>
          <w:u w:val="single"/>
        </w:rPr>
        <w:t xml:space="preserve">output supplies. </w:t>
      </w:r>
      <w:r w:rsidRPr="002B5EC7">
        <w:rPr>
          <w:rFonts w:ascii="Bookman Old Style" w:hAnsi="Bookman Old Style"/>
        </w:rPr>
        <w:t xml:space="preserve">The word “inputs” is not defined under GST, however, </w:t>
      </w:r>
      <w:r w:rsidRPr="002B5EC7">
        <w:rPr>
          <w:rFonts w:ascii="Bookman Old Style" w:hAnsi="Bookman Old Style"/>
          <w:b/>
          <w:bCs/>
          <w:u w:val="single"/>
        </w:rPr>
        <w:t>“input” is defined under Section 2(59) to mean any goods other than capital goods.</w:t>
      </w:r>
      <w:r w:rsidRPr="002B5EC7">
        <w:rPr>
          <w:rFonts w:ascii="Bookman Old Style" w:hAnsi="Bookman Old Style"/>
        </w:rPr>
        <w:t xml:space="preserve"> </w:t>
      </w:r>
      <w:r>
        <w:rPr>
          <w:rFonts w:ascii="Bookman Old Style" w:hAnsi="Bookman Old Style"/>
        </w:rPr>
        <w:t>Thus</w:t>
      </w:r>
      <w:r w:rsidRPr="002B5EC7">
        <w:rPr>
          <w:rFonts w:ascii="Bookman Old Style" w:hAnsi="Bookman Old Style"/>
        </w:rPr>
        <w:t>, two interpretations came into the picture viz.;</w:t>
      </w:r>
    </w:p>
    <w:p w14:paraId="08678837" w14:textId="77777777" w:rsidR="006D596F" w:rsidRPr="002B5EC7" w:rsidRDefault="006D596F" w:rsidP="006D596F">
      <w:pPr>
        <w:pStyle w:val="ListParagraph"/>
        <w:numPr>
          <w:ilvl w:val="0"/>
          <w:numId w:val="18"/>
        </w:numPr>
        <w:spacing w:after="200" w:line="360" w:lineRule="auto"/>
        <w:ind w:left="360"/>
        <w:jc w:val="both"/>
        <w:rPr>
          <w:rFonts w:ascii="Bookman Old Style" w:hAnsi="Bookman Old Style"/>
        </w:rPr>
      </w:pPr>
      <w:r w:rsidRPr="002B5EC7">
        <w:rPr>
          <w:rFonts w:ascii="Bookman Old Style" w:hAnsi="Bookman Old Style"/>
          <w:b/>
          <w:bCs/>
        </w:rPr>
        <w:t xml:space="preserve">First interpretation: - </w:t>
      </w:r>
      <w:r w:rsidRPr="002B5EC7">
        <w:rPr>
          <w:rFonts w:ascii="Bookman Old Style" w:hAnsi="Bookman Old Style"/>
        </w:rPr>
        <w:t>“inputs” would be read as a plural of the “input” and the</w:t>
      </w:r>
      <w:r>
        <w:rPr>
          <w:rFonts w:ascii="Bookman Old Style" w:hAnsi="Bookman Old Style"/>
        </w:rPr>
        <w:t xml:space="preserve"> </w:t>
      </w:r>
      <w:r w:rsidRPr="002B5EC7">
        <w:rPr>
          <w:rFonts w:ascii="Bookman Old Style" w:hAnsi="Bookman Old Style"/>
        </w:rPr>
        <w:t xml:space="preserve">refund of unutilized ITC would be restricted to the </w:t>
      </w:r>
      <w:r>
        <w:rPr>
          <w:rFonts w:ascii="Bookman Old Style" w:hAnsi="Bookman Old Style"/>
        </w:rPr>
        <w:t>ITC</w:t>
      </w:r>
      <w:r w:rsidRPr="002B5EC7">
        <w:rPr>
          <w:rFonts w:ascii="Bookman Old Style" w:hAnsi="Bookman Old Style"/>
        </w:rPr>
        <w:t xml:space="preserve"> o</w:t>
      </w:r>
      <w:r>
        <w:rPr>
          <w:rFonts w:ascii="Bookman Old Style" w:hAnsi="Bookman Old Style"/>
        </w:rPr>
        <w:t>f</w:t>
      </w:r>
      <w:r w:rsidRPr="002B5EC7">
        <w:rPr>
          <w:rFonts w:ascii="Bookman Old Style" w:hAnsi="Bookman Old Style"/>
        </w:rPr>
        <w:t xml:space="preserve"> input goods</w:t>
      </w:r>
      <w:r>
        <w:rPr>
          <w:rFonts w:ascii="Bookman Old Style" w:hAnsi="Bookman Old Style"/>
        </w:rPr>
        <w:t xml:space="preserve">; </w:t>
      </w:r>
      <w:r w:rsidRPr="002B5EC7">
        <w:rPr>
          <w:rFonts w:ascii="Bookman Old Style" w:hAnsi="Bookman Old Style"/>
        </w:rPr>
        <w:t>and</w:t>
      </w:r>
    </w:p>
    <w:p w14:paraId="06E156C3" w14:textId="77777777" w:rsidR="006D596F" w:rsidRPr="008827FB" w:rsidRDefault="006D596F" w:rsidP="006D596F">
      <w:pPr>
        <w:pStyle w:val="ListParagraph"/>
        <w:numPr>
          <w:ilvl w:val="0"/>
          <w:numId w:val="18"/>
        </w:numPr>
        <w:spacing w:after="200" w:line="360" w:lineRule="auto"/>
        <w:ind w:left="360"/>
        <w:jc w:val="both"/>
        <w:rPr>
          <w:rFonts w:ascii="Bookman Old Style" w:hAnsi="Bookman Old Style"/>
        </w:rPr>
      </w:pPr>
      <w:r w:rsidRPr="002B5EC7">
        <w:rPr>
          <w:rFonts w:ascii="Bookman Old Style" w:hAnsi="Bookman Old Style"/>
          <w:b/>
          <w:bCs/>
        </w:rPr>
        <w:t xml:space="preserve">Second interpretation: - </w:t>
      </w:r>
      <w:r w:rsidRPr="002B5EC7">
        <w:rPr>
          <w:rFonts w:ascii="Bookman Old Style" w:hAnsi="Bookman Old Style"/>
        </w:rPr>
        <w:t xml:space="preserve">there is no difference between goods and services </w:t>
      </w:r>
      <w:r w:rsidRPr="008827FB">
        <w:rPr>
          <w:rFonts w:ascii="Bookman Old Style" w:hAnsi="Bookman Old Style"/>
        </w:rPr>
        <w:t xml:space="preserve">and </w:t>
      </w:r>
      <w:r>
        <w:rPr>
          <w:rFonts w:ascii="Bookman Old Style" w:hAnsi="Bookman Old Style"/>
        </w:rPr>
        <w:t xml:space="preserve">a </w:t>
      </w:r>
      <w:r w:rsidRPr="008827FB">
        <w:rPr>
          <w:rFonts w:ascii="Bookman Old Style" w:hAnsi="Bookman Old Style"/>
        </w:rPr>
        <w:t xml:space="preserve">refund of ITC availed on input services would be eligible in the schema. </w:t>
      </w:r>
    </w:p>
    <w:p w14:paraId="0DCA33D6" w14:textId="77777777" w:rsidR="006D596F" w:rsidRPr="004723E3" w:rsidRDefault="006D596F" w:rsidP="006D596F">
      <w:pPr>
        <w:spacing w:line="360" w:lineRule="auto"/>
        <w:jc w:val="both"/>
        <w:rPr>
          <w:rFonts w:ascii="Bookman Old Style" w:hAnsi="Bookman Old Style"/>
          <w:b/>
          <w:bCs/>
        </w:rPr>
      </w:pPr>
      <w:r w:rsidRPr="002B5EC7">
        <w:rPr>
          <w:rFonts w:ascii="Bookman Old Style" w:hAnsi="Bookman Old Style"/>
        </w:rPr>
        <w:t>The Madras High Court followed the first interpretation</w:t>
      </w:r>
      <w:r w:rsidRPr="002B5EC7">
        <w:rPr>
          <w:rStyle w:val="FootnoteReference"/>
          <w:rFonts w:ascii="Bookman Old Style" w:hAnsi="Bookman Old Style"/>
          <w:b/>
          <w:bCs/>
        </w:rPr>
        <w:footnoteReference w:id="1"/>
      </w:r>
      <w:r w:rsidRPr="002B5EC7">
        <w:rPr>
          <w:rFonts w:ascii="Bookman Old Style" w:hAnsi="Bookman Old Style"/>
        </w:rPr>
        <w:t>. Whereas the Hon’ble Gujarat High followed the second interpretation.</w:t>
      </w:r>
      <w:r w:rsidRPr="002B5EC7">
        <w:rPr>
          <w:rStyle w:val="FootnoteReference"/>
          <w:rFonts w:ascii="Bookman Old Style" w:hAnsi="Bookman Old Style"/>
          <w:b/>
          <w:bCs/>
        </w:rPr>
        <w:footnoteReference w:id="2"/>
      </w:r>
      <w:r>
        <w:rPr>
          <w:rFonts w:ascii="Bookman Old Style" w:hAnsi="Bookman Old Style"/>
          <w:b/>
          <w:bCs/>
        </w:rPr>
        <w:t xml:space="preserve"> </w:t>
      </w:r>
      <w:r w:rsidRPr="002B5EC7">
        <w:rPr>
          <w:rFonts w:ascii="Bookman Old Style" w:hAnsi="Bookman Old Style"/>
        </w:rPr>
        <w:t xml:space="preserve">The matter reached the Hon’ble Supreme Court and the ruling of the Hon’ble Madras High Court was made the law of the land. </w:t>
      </w:r>
    </w:p>
    <w:p w14:paraId="213346AD" w14:textId="77777777" w:rsidR="006D596F" w:rsidRDefault="006D596F" w:rsidP="006D596F">
      <w:pPr>
        <w:spacing w:after="0" w:line="360" w:lineRule="auto"/>
        <w:jc w:val="both"/>
        <w:rPr>
          <w:rFonts w:ascii="Bookman Old Style" w:hAnsi="Bookman Old Style"/>
        </w:rPr>
      </w:pPr>
      <w:r w:rsidRPr="002B5EC7">
        <w:rPr>
          <w:rFonts w:ascii="Bookman Old Style" w:hAnsi="Bookman Old Style"/>
        </w:rPr>
        <w:t>However, in this ruling, the Hon’ble Supreme Court</w:t>
      </w:r>
      <w:r w:rsidRPr="002B5EC7">
        <w:rPr>
          <w:rStyle w:val="FootnoteReference"/>
          <w:rFonts w:ascii="Bookman Old Style" w:hAnsi="Bookman Old Style"/>
        </w:rPr>
        <w:footnoteReference w:id="3"/>
      </w:r>
      <w:r w:rsidRPr="002B5EC7">
        <w:rPr>
          <w:rFonts w:ascii="Bookman Old Style" w:hAnsi="Bookman Old Style"/>
        </w:rPr>
        <w:t xml:space="preserve"> noted that the formulae prescribed for the calculation of a refund suffer from an anomaly </w:t>
      </w:r>
      <w:r>
        <w:rPr>
          <w:rFonts w:ascii="Bookman Old Style" w:hAnsi="Bookman Old Style"/>
        </w:rPr>
        <w:t>and recommended GST Council to take appropriate policy decision for removal of anomaly.</w:t>
      </w:r>
    </w:p>
    <w:p w14:paraId="472B1B96" w14:textId="77777777" w:rsidR="006D596F" w:rsidRDefault="006D596F" w:rsidP="006D596F">
      <w:pPr>
        <w:spacing w:after="0" w:line="360" w:lineRule="auto"/>
        <w:jc w:val="both"/>
        <w:rPr>
          <w:rFonts w:ascii="Bookman Old Style" w:hAnsi="Bookman Old Style"/>
        </w:rPr>
      </w:pPr>
    </w:p>
    <w:p w14:paraId="5BCE20EF" w14:textId="77777777" w:rsidR="006D596F" w:rsidRPr="006D596F" w:rsidRDefault="006D596F" w:rsidP="006D596F">
      <w:pPr>
        <w:spacing w:after="0" w:line="360" w:lineRule="auto"/>
        <w:jc w:val="both"/>
        <w:rPr>
          <w:rFonts w:ascii="Bookman Old Style" w:hAnsi="Bookman Old Style"/>
          <w:b/>
          <w:bCs/>
          <w:color w:val="4472C4" w:themeColor="accent1"/>
        </w:rPr>
      </w:pPr>
      <w:r w:rsidRPr="006D596F">
        <w:rPr>
          <w:rFonts w:ascii="Bookman Old Style" w:hAnsi="Bookman Old Style"/>
          <w:b/>
          <w:bCs/>
          <w:color w:val="4472C4" w:themeColor="accent1"/>
        </w:rPr>
        <w:t>Anomaly in the formulae of calculation of refund amount</w:t>
      </w:r>
    </w:p>
    <w:p w14:paraId="0DD249B1" w14:textId="77777777" w:rsidR="006D596F" w:rsidRPr="002B5EC7" w:rsidRDefault="006D596F" w:rsidP="006D596F">
      <w:pPr>
        <w:spacing w:after="0" w:line="360" w:lineRule="auto"/>
        <w:jc w:val="both"/>
        <w:rPr>
          <w:rFonts w:ascii="Bookman Old Style" w:hAnsi="Bookman Old Style"/>
        </w:rPr>
      </w:pPr>
      <w:r w:rsidRPr="002B5EC7">
        <w:rPr>
          <w:rFonts w:ascii="Bookman Old Style" w:hAnsi="Bookman Old Style"/>
        </w:rPr>
        <w:t>Rule 89(5) of the GST Rules prescribes a formula for the calculation of refund of unutilized ITC on account of an inverted rate structure. The formula as it stood before July 2022 is as follows:</w:t>
      </w:r>
    </w:p>
    <w:p w14:paraId="5761CF1C" w14:textId="77777777" w:rsidR="006D596F" w:rsidRPr="002B5EC7" w:rsidRDefault="006D596F" w:rsidP="006D596F">
      <w:pPr>
        <w:spacing w:line="360" w:lineRule="auto"/>
        <w:jc w:val="both"/>
        <w:rPr>
          <w:rFonts w:ascii="Bookman Old Style" w:hAnsi="Bookman Old Style"/>
          <w:b/>
          <w:bCs/>
          <w:i/>
          <w:iCs/>
          <w:u w:val="single"/>
        </w:rPr>
      </w:pPr>
      <w:r w:rsidRPr="002B5EC7">
        <w:rPr>
          <w:rFonts w:ascii="Bookman Old Style" w:hAnsi="Bookman Old Style"/>
          <w:i/>
          <w:iCs/>
        </w:rPr>
        <w:t xml:space="preserve">Maximum Refund Amount = {(Turnover of inverted rated supply) x Net ITC÷ Adjusted Total Turnover} </w:t>
      </w:r>
      <w:r w:rsidRPr="002B5EC7">
        <w:rPr>
          <w:rFonts w:ascii="Bookman Old Style" w:hAnsi="Bookman Old Style"/>
          <w:b/>
          <w:bCs/>
          <w:i/>
          <w:iCs/>
          <w:u w:val="single"/>
        </w:rPr>
        <w:t>- tax payable on such inverted rated supply of goods and services.</w:t>
      </w:r>
    </w:p>
    <w:p w14:paraId="5E534DC5" w14:textId="77777777" w:rsidR="006D596F" w:rsidRPr="002B5EC7" w:rsidRDefault="006D596F" w:rsidP="006D596F">
      <w:pPr>
        <w:spacing w:line="360" w:lineRule="auto"/>
        <w:jc w:val="both"/>
        <w:rPr>
          <w:rFonts w:ascii="Bookman Old Style" w:hAnsi="Bookman Old Style"/>
        </w:rPr>
      </w:pPr>
      <w:r w:rsidRPr="002B5EC7">
        <w:rPr>
          <w:rFonts w:ascii="Bookman Old Style" w:hAnsi="Bookman Old Style"/>
        </w:rPr>
        <w:t xml:space="preserve">Applying the legal principle pronounced by the Apex Court, “Net ITC” was to include only such ITC attributable to “inputs” i.e. input goods. With this understanding, let us understand the application of the formulae with an example. </w:t>
      </w:r>
    </w:p>
    <w:tbl>
      <w:tblPr>
        <w:tblW w:w="5680" w:type="dxa"/>
        <w:tblInd w:w="113" w:type="dxa"/>
        <w:tblLook w:val="04A0" w:firstRow="1" w:lastRow="0" w:firstColumn="1" w:lastColumn="0" w:noHBand="0" w:noVBand="1"/>
      </w:tblPr>
      <w:tblGrid>
        <w:gridCol w:w="1435"/>
        <w:gridCol w:w="3960"/>
        <w:gridCol w:w="696"/>
      </w:tblGrid>
      <w:tr w:rsidR="006D596F" w:rsidRPr="002B5EC7" w14:paraId="644AB0D6" w14:textId="77777777" w:rsidTr="003D0EB0">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B6E49" w14:textId="77777777" w:rsidR="006D596F" w:rsidRPr="002B5EC7" w:rsidRDefault="006D596F" w:rsidP="003D0EB0">
            <w:pPr>
              <w:spacing w:after="0" w:line="240" w:lineRule="auto"/>
              <w:rPr>
                <w:rFonts w:ascii="Bookman Old Style" w:eastAsia="Times New Roman" w:hAnsi="Bookman Old Style" w:cs="Calibri"/>
                <w:b/>
                <w:bCs/>
                <w:color w:val="000000"/>
              </w:rPr>
            </w:pPr>
            <w:r w:rsidRPr="002B5EC7">
              <w:rPr>
                <w:rFonts w:ascii="Bookman Old Style" w:eastAsia="Times New Roman" w:hAnsi="Bookman Old Style" w:cs="Calibri"/>
                <w:b/>
                <w:bCs/>
                <w:color w:val="000000"/>
              </w:rPr>
              <w:t>Calc.</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4922B9B1" w14:textId="77777777" w:rsidR="006D596F" w:rsidRPr="002B5EC7" w:rsidRDefault="006D596F" w:rsidP="003D0EB0">
            <w:pPr>
              <w:spacing w:after="0" w:line="240" w:lineRule="auto"/>
              <w:rPr>
                <w:rFonts w:ascii="Bookman Old Style" w:eastAsia="Times New Roman" w:hAnsi="Bookman Old Style" w:cs="Calibri"/>
                <w:b/>
                <w:bCs/>
                <w:color w:val="000000"/>
              </w:rPr>
            </w:pPr>
            <w:r w:rsidRPr="002B5EC7">
              <w:rPr>
                <w:rFonts w:ascii="Bookman Old Style" w:eastAsia="Times New Roman" w:hAnsi="Bookman Old Style" w:cs="Calibri"/>
                <w:b/>
                <w:bCs/>
                <w:color w:val="000000"/>
              </w:rPr>
              <w:t>Particulars</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14:paraId="543A869A" w14:textId="77777777" w:rsidR="006D596F" w:rsidRPr="002B5EC7" w:rsidRDefault="006D596F" w:rsidP="003D0EB0">
            <w:pPr>
              <w:spacing w:after="0" w:line="240" w:lineRule="auto"/>
              <w:rPr>
                <w:rFonts w:ascii="Bookman Old Style" w:eastAsia="Times New Roman" w:hAnsi="Bookman Old Style" w:cs="Calibri"/>
                <w:b/>
                <w:bCs/>
                <w:color w:val="000000"/>
              </w:rPr>
            </w:pPr>
            <w:r w:rsidRPr="002B5EC7">
              <w:rPr>
                <w:rFonts w:ascii="Bookman Old Style" w:eastAsia="Times New Roman" w:hAnsi="Bookman Old Style" w:cs="Calibri"/>
                <w:b/>
                <w:bCs/>
                <w:color w:val="000000"/>
              </w:rPr>
              <w:t>GST</w:t>
            </w:r>
          </w:p>
        </w:tc>
      </w:tr>
      <w:tr w:rsidR="006D596F" w:rsidRPr="002B5EC7" w14:paraId="0217C37D" w14:textId="77777777" w:rsidTr="003D0EB0">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06EFB5A"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A</w:t>
            </w:r>
          </w:p>
        </w:tc>
        <w:tc>
          <w:tcPr>
            <w:tcW w:w="3960" w:type="dxa"/>
            <w:tcBorders>
              <w:top w:val="nil"/>
              <w:left w:val="nil"/>
              <w:bottom w:val="single" w:sz="4" w:space="0" w:color="auto"/>
              <w:right w:val="single" w:sz="4" w:space="0" w:color="auto"/>
            </w:tcBorders>
            <w:shd w:val="clear" w:color="auto" w:fill="auto"/>
            <w:noWrap/>
            <w:vAlign w:val="bottom"/>
            <w:hideMark/>
          </w:tcPr>
          <w:p w14:paraId="5CAD7DF7"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ITC on input goods</w:t>
            </w:r>
          </w:p>
        </w:tc>
        <w:tc>
          <w:tcPr>
            <w:tcW w:w="285" w:type="dxa"/>
            <w:tcBorders>
              <w:top w:val="nil"/>
              <w:left w:val="nil"/>
              <w:bottom w:val="single" w:sz="4" w:space="0" w:color="auto"/>
              <w:right w:val="single" w:sz="4" w:space="0" w:color="auto"/>
            </w:tcBorders>
            <w:shd w:val="clear" w:color="auto" w:fill="auto"/>
            <w:noWrap/>
            <w:vAlign w:val="bottom"/>
            <w:hideMark/>
          </w:tcPr>
          <w:p w14:paraId="06C65782" w14:textId="77777777" w:rsidR="006D596F" w:rsidRPr="002B5EC7" w:rsidRDefault="006D596F" w:rsidP="003D0EB0">
            <w:pPr>
              <w:spacing w:after="0" w:line="24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25</w:t>
            </w:r>
          </w:p>
        </w:tc>
      </w:tr>
      <w:tr w:rsidR="006D596F" w:rsidRPr="002B5EC7" w14:paraId="35B40B52" w14:textId="77777777" w:rsidTr="003D0EB0">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4B33ACB"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B</w:t>
            </w:r>
          </w:p>
        </w:tc>
        <w:tc>
          <w:tcPr>
            <w:tcW w:w="3960" w:type="dxa"/>
            <w:tcBorders>
              <w:top w:val="nil"/>
              <w:left w:val="nil"/>
              <w:bottom w:val="single" w:sz="4" w:space="0" w:color="auto"/>
              <w:right w:val="single" w:sz="4" w:space="0" w:color="auto"/>
            </w:tcBorders>
            <w:shd w:val="clear" w:color="auto" w:fill="auto"/>
            <w:noWrap/>
            <w:vAlign w:val="bottom"/>
            <w:hideMark/>
          </w:tcPr>
          <w:p w14:paraId="4AE37A47"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ITC on input services</w:t>
            </w:r>
          </w:p>
        </w:tc>
        <w:tc>
          <w:tcPr>
            <w:tcW w:w="285" w:type="dxa"/>
            <w:tcBorders>
              <w:top w:val="nil"/>
              <w:left w:val="nil"/>
              <w:bottom w:val="single" w:sz="4" w:space="0" w:color="auto"/>
              <w:right w:val="single" w:sz="4" w:space="0" w:color="auto"/>
            </w:tcBorders>
            <w:shd w:val="clear" w:color="auto" w:fill="auto"/>
            <w:noWrap/>
            <w:vAlign w:val="bottom"/>
            <w:hideMark/>
          </w:tcPr>
          <w:p w14:paraId="13D6E24B" w14:textId="77777777" w:rsidR="006D596F" w:rsidRPr="002B5EC7" w:rsidRDefault="006D596F" w:rsidP="003D0EB0">
            <w:pPr>
              <w:spacing w:after="0" w:line="24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15</w:t>
            </w:r>
          </w:p>
        </w:tc>
      </w:tr>
      <w:tr w:rsidR="006D596F" w:rsidRPr="002B5EC7" w14:paraId="294839B0" w14:textId="77777777" w:rsidTr="003D0EB0">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7232BD8"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C=A+B</w:t>
            </w:r>
          </w:p>
        </w:tc>
        <w:tc>
          <w:tcPr>
            <w:tcW w:w="3960" w:type="dxa"/>
            <w:tcBorders>
              <w:top w:val="nil"/>
              <w:left w:val="nil"/>
              <w:bottom w:val="single" w:sz="4" w:space="0" w:color="auto"/>
              <w:right w:val="single" w:sz="4" w:space="0" w:color="auto"/>
            </w:tcBorders>
            <w:shd w:val="clear" w:color="auto" w:fill="auto"/>
            <w:noWrap/>
            <w:vAlign w:val="bottom"/>
            <w:hideMark/>
          </w:tcPr>
          <w:p w14:paraId="7B55DC40"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Total ITC</w:t>
            </w:r>
          </w:p>
        </w:tc>
        <w:tc>
          <w:tcPr>
            <w:tcW w:w="285" w:type="dxa"/>
            <w:tcBorders>
              <w:top w:val="nil"/>
              <w:left w:val="nil"/>
              <w:bottom w:val="single" w:sz="4" w:space="0" w:color="auto"/>
              <w:right w:val="single" w:sz="4" w:space="0" w:color="auto"/>
            </w:tcBorders>
            <w:shd w:val="clear" w:color="auto" w:fill="auto"/>
            <w:noWrap/>
            <w:vAlign w:val="bottom"/>
            <w:hideMark/>
          </w:tcPr>
          <w:p w14:paraId="27EF7AD6" w14:textId="77777777" w:rsidR="006D596F" w:rsidRPr="002B5EC7" w:rsidRDefault="006D596F" w:rsidP="003D0EB0">
            <w:pPr>
              <w:spacing w:after="0" w:line="24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40</w:t>
            </w:r>
          </w:p>
        </w:tc>
      </w:tr>
      <w:tr w:rsidR="006D596F" w:rsidRPr="002B5EC7" w14:paraId="0189C929" w14:textId="77777777" w:rsidTr="003D0EB0">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2D9D586"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D</w:t>
            </w:r>
          </w:p>
        </w:tc>
        <w:tc>
          <w:tcPr>
            <w:tcW w:w="3960" w:type="dxa"/>
            <w:tcBorders>
              <w:top w:val="nil"/>
              <w:left w:val="nil"/>
              <w:bottom w:val="single" w:sz="4" w:space="0" w:color="auto"/>
              <w:right w:val="single" w:sz="4" w:space="0" w:color="auto"/>
            </w:tcBorders>
            <w:shd w:val="clear" w:color="auto" w:fill="auto"/>
            <w:noWrap/>
            <w:vAlign w:val="bottom"/>
            <w:hideMark/>
          </w:tcPr>
          <w:p w14:paraId="09E1658D"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Inverted rate turnover</w:t>
            </w:r>
          </w:p>
        </w:tc>
        <w:tc>
          <w:tcPr>
            <w:tcW w:w="285" w:type="dxa"/>
            <w:tcBorders>
              <w:top w:val="nil"/>
              <w:left w:val="nil"/>
              <w:bottom w:val="single" w:sz="4" w:space="0" w:color="auto"/>
              <w:right w:val="single" w:sz="4" w:space="0" w:color="auto"/>
            </w:tcBorders>
            <w:shd w:val="clear" w:color="auto" w:fill="auto"/>
            <w:noWrap/>
            <w:vAlign w:val="bottom"/>
            <w:hideMark/>
          </w:tcPr>
          <w:p w14:paraId="27018CF8" w14:textId="77777777" w:rsidR="006D596F" w:rsidRPr="002B5EC7" w:rsidRDefault="006D596F" w:rsidP="003D0EB0">
            <w:pPr>
              <w:spacing w:after="0" w:line="24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100</w:t>
            </w:r>
          </w:p>
        </w:tc>
      </w:tr>
      <w:tr w:rsidR="006D596F" w:rsidRPr="002B5EC7" w14:paraId="5B16C5CB" w14:textId="77777777" w:rsidTr="003D0EB0">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DF6CCD0"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E</w:t>
            </w:r>
          </w:p>
        </w:tc>
        <w:tc>
          <w:tcPr>
            <w:tcW w:w="3960" w:type="dxa"/>
            <w:tcBorders>
              <w:top w:val="nil"/>
              <w:left w:val="nil"/>
              <w:bottom w:val="single" w:sz="4" w:space="0" w:color="auto"/>
              <w:right w:val="single" w:sz="4" w:space="0" w:color="auto"/>
            </w:tcBorders>
            <w:shd w:val="clear" w:color="auto" w:fill="auto"/>
            <w:noWrap/>
            <w:vAlign w:val="bottom"/>
            <w:hideMark/>
          </w:tcPr>
          <w:p w14:paraId="201C13C5"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Adjusted Total turnover</w:t>
            </w:r>
          </w:p>
        </w:tc>
        <w:tc>
          <w:tcPr>
            <w:tcW w:w="285" w:type="dxa"/>
            <w:tcBorders>
              <w:top w:val="nil"/>
              <w:left w:val="nil"/>
              <w:bottom w:val="single" w:sz="4" w:space="0" w:color="auto"/>
              <w:right w:val="single" w:sz="4" w:space="0" w:color="auto"/>
            </w:tcBorders>
            <w:shd w:val="clear" w:color="auto" w:fill="auto"/>
            <w:noWrap/>
            <w:vAlign w:val="bottom"/>
            <w:hideMark/>
          </w:tcPr>
          <w:p w14:paraId="702F2120" w14:textId="77777777" w:rsidR="006D596F" w:rsidRPr="002B5EC7" w:rsidRDefault="006D596F" w:rsidP="003D0EB0">
            <w:pPr>
              <w:spacing w:after="0" w:line="24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150</w:t>
            </w:r>
          </w:p>
        </w:tc>
      </w:tr>
      <w:tr w:rsidR="006D596F" w:rsidRPr="002B5EC7" w14:paraId="45BBF5A3" w14:textId="77777777" w:rsidTr="003D0EB0">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3AED40A"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F</w:t>
            </w:r>
          </w:p>
        </w:tc>
        <w:tc>
          <w:tcPr>
            <w:tcW w:w="3960" w:type="dxa"/>
            <w:tcBorders>
              <w:top w:val="nil"/>
              <w:left w:val="nil"/>
              <w:bottom w:val="single" w:sz="4" w:space="0" w:color="auto"/>
              <w:right w:val="single" w:sz="4" w:space="0" w:color="auto"/>
            </w:tcBorders>
            <w:shd w:val="clear" w:color="auto" w:fill="auto"/>
            <w:noWrap/>
            <w:vAlign w:val="bottom"/>
            <w:hideMark/>
          </w:tcPr>
          <w:p w14:paraId="35094E90"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Output tax on inverted rate turnover</w:t>
            </w:r>
          </w:p>
        </w:tc>
        <w:tc>
          <w:tcPr>
            <w:tcW w:w="285" w:type="dxa"/>
            <w:tcBorders>
              <w:top w:val="nil"/>
              <w:left w:val="nil"/>
              <w:bottom w:val="single" w:sz="4" w:space="0" w:color="auto"/>
              <w:right w:val="single" w:sz="4" w:space="0" w:color="auto"/>
            </w:tcBorders>
            <w:shd w:val="clear" w:color="auto" w:fill="auto"/>
            <w:noWrap/>
            <w:vAlign w:val="bottom"/>
            <w:hideMark/>
          </w:tcPr>
          <w:p w14:paraId="4117B65D" w14:textId="77777777" w:rsidR="006D596F" w:rsidRPr="002B5EC7" w:rsidRDefault="006D596F" w:rsidP="003D0EB0">
            <w:pPr>
              <w:spacing w:after="0" w:line="24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12</w:t>
            </w:r>
          </w:p>
        </w:tc>
      </w:tr>
      <w:tr w:rsidR="006D596F" w:rsidRPr="002B5EC7" w14:paraId="446B1A53" w14:textId="77777777" w:rsidTr="003D0EB0">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6CB3E9D" w14:textId="77777777" w:rsidR="006D596F" w:rsidRPr="002B5EC7" w:rsidRDefault="006D596F" w:rsidP="003D0EB0">
            <w:pPr>
              <w:spacing w:after="0" w:line="36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F=A*D/E-F</w:t>
            </w:r>
          </w:p>
        </w:tc>
        <w:tc>
          <w:tcPr>
            <w:tcW w:w="3960" w:type="dxa"/>
            <w:tcBorders>
              <w:top w:val="nil"/>
              <w:left w:val="nil"/>
              <w:bottom w:val="single" w:sz="4" w:space="0" w:color="auto"/>
              <w:right w:val="single" w:sz="4" w:space="0" w:color="auto"/>
            </w:tcBorders>
            <w:shd w:val="clear" w:color="auto" w:fill="auto"/>
            <w:noWrap/>
            <w:vAlign w:val="bottom"/>
            <w:hideMark/>
          </w:tcPr>
          <w:p w14:paraId="4E2DE30D" w14:textId="77777777" w:rsidR="006D596F" w:rsidRPr="002B5EC7" w:rsidRDefault="006D596F" w:rsidP="003D0EB0">
            <w:pPr>
              <w:spacing w:after="0" w:line="36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Refund eligible</w:t>
            </w:r>
          </w:p>
        </w:tc>
        <w:tc>
          <w:tcPr>
            <w:tcW w:w="285" w:type="dxa"/>
            <w:tcBorders>
              <w:top w:val="nil"/>
              <w:left w:val="nil"/>
              <w:bottom w:val="single" w:sz="4" w:space="0" w:color="auto"/>
              <w:right w:val="single" w:sz="4" w:space="0" w:color="auto"/>
            </w:tcBorders>
            <w:shd w:val="clear" w:color="auto" w:fill="auto"/>
            <w:noWrap/>
            <w:vAlign w:val="bottom"/>
            <w:hideMark/>
          </w:tcPr>
          <w:p w14:paraId="516C57A4" w14:textId="77777777" w:rsidR="006D596F" w:rsidRPr="002B5EC7" w:rsidRDefault="006D596F" w:rsidP="003D0EB0">
            <w:pPr>
              <w:spacing w:after="0" w:line="36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4.67</w:t>
            </w:r>
          </w:p>
        </w:tc>
      </w:tr>
    </w:tbl>
    <w:p w14:paraId="5BDDC3A2" w14:textId="77777777" w:rsidR="006D596F" w:rsidRPr="002B5EC7" w:rsidRDefault="006D596F" w:rsidP="006D596F">
      <w:pPr>
        <w:spacing w:line="360" w:lineRule="auto"/>
        <w:jc w:val="both"/>
        <w:rPr>
          <w:rFonts w:ascii="Bookman Old Style" w:hAnsi="Bookman Old Style"/>
        </w:rPr>
      </w:pPr>
      <w:r w:rsidRPr="002B5EC7">
        <w:rPr>
          <w:rFonts w:ascii="Bookman Old Style" w:hAnsi="Bookman Old Style"/>
        </w:rPr>
        <w:t xml:space="preserve">On a perusal of the above formulae, it transpires that </w:t>
      </w:r>
      <w:r w:rsidRPr="002B5EC7">
        <w:rPr>
          <w:rFonts w:ascii="Bookman Old Style" w:hAnsi="Bookman Old Style"/>
          <w:b/>
          <w:bCs/>
          <w:u w:val="single"/>
        </w:rPr>
        <w:t>refund was allowed only of the ITC availed on input goods</w:t>
      </w:r>
      <w:r w:rsidRPr="002B5EC7">
        <w:rPr>
          <w:rFonts w:ascii="Bookman Old Style" w:hAnsi="Bookman Old Style"/>
        </w:rPr>
        <w:t xml:space="preserve"> (A) whereas the </w:t>
      </w:r>
      <w:r w:rsidRPr="002B5EC7">
        <w:rPr>
          <w:rFonts w:ascii="Bookman Old Style" w:hAnsi="Bookman Old Style"/>
          <w:b/>
          <w:bCs/>
          <w:u w:val="single"/>
        </w:rPr>
        <w:t>output tax deducted (F) was the output tax paid by utilizing both viz. ITC of input goods as well as ITC of input services</w:t>
      </w:r>
      <w:r w:rsidRPr="002B5EC7">
        <w:rPr>
          <w:rFonts w:ascii="Bookman Old Style" w:hAnsi="Bookman Old Style"/>
        </w:rPr>
        <w:t xml:space="preserve">. This anomaly resulted in the sanction of reduced refund claims </w:t>
      </w:r>
      <w:r>
        <w:rPr>
          <w:rFonts w:ascii="Bookman Old Style" w:hAnsi="Bookman Old Style"/>
        </w:rPr>
        <w:t xml:space="preserve">or denial of claim in some cases, </w:t>
      </w:r>
      <w:r w:rsidRPr="002B5EC7">
        <w:rPr>
          <w:rFonts w:ascii="Bookman Old Style" w:hAnsi="Bookman Old Style"/>
        </w:rPr>
        <w:t xml:space="preserve">hence, the formulae created an imbalance against applicants. </w:t>
      </w:r>
    </w:p>
    <w:p w14:paraId="65A703C1" w14:textId="77777777" w:rsidR="006D596F" w:rsidRPr="002B5EC7" w:rsidRDefault="006D596F" w:rsidP="006D596F">
      <w:pPr>
        <w:spacing w:after="0" w:line="360" w:lineRule="auto"/>
        <w:jc w:val="both"/>
        <w:rPr>
          <w:rFonts w:ascii="Bookman Old Style" w:hAnsi="Bookman Old Style"/>
        </w:rPr>
      </w:pPr>
      <w:r w:rsidRPr="002B5EC7">
        <w:rPr>
          <w:rFonts w:ascii="Bookman Old Style" w:hAnsi="Bookman Old Style"/>
        </w:rPr>
        <w:t xml:space="preserve">In this regard, the Hon’ble Supreme Court </w:t>
      </w:r>
      <w:r>
        <w:rPr>
          <w:rFonts w:ascii="Bookman Old Style" w:hAnsi="Bookman Old Style"/>
        </w:rPr>
        <w:t xml:space="preserve">noted that </w:t>
      </w:r>
      <w:r w:rsidRPr="002B5EC7">
        <w:rPr>
          <w:rFonts w:ascii="Bookman Old Style" w:hAnsi="Bookman Old Style"/>
        </w:rPr>
        <w:t xml:space="preserve">the GST Council </w:t>
      </w:r>
      <w:r>
        <w:rPr>
          <w:rFonts w:ascii="Bookman Old Style" w:hAnsi="Bookman Old Style"/>
        </w:rPr>
        <w:t xml:space="preserve">should ascertain </w:t>
      </w:r>
      <w:r w:rsidRPr="002B5EC7">
        <w:rPr>
          <w:rFonts w:ascii="Bookman Old Style" w:hAnsi="Bookman Old Style"/>
        </w:rPr>
        <w:t xml:space="preserve">whether the deduction of output tax in the formulae could be allowed to be made in the proportion of ITC on input goods and input services. </w:t>
      </w:r>
    </w:p>
    <w:p w14:paraId="07224C3F" w14:textId="77777777" w:rsidR="006D596F" w:rsidRPr="006D596F" w:rsidRDefault="006D596F" w:rsidP="006D596F">
      <w:pPr>
        <w:spacing w:after="0" w:line="360" w:lineRule="auto"/>
        <w:jc w:val="both"/>
        <w:rPr>
          <w:rFonts w:ascii="Bookman Old Style" w:hAnsi="Bookman Old Style"/>
          <w:b/>
          <w:bCs/>
          <w:color w:val="4472C4" w:themeColor="accent1"/>
        </w:rPr>
      </w:pPr>
      <w:r w:rsidRPr="006D596F">
        <w:rPr>
          <w:rFonts w:ascii="Bookman Old Style" w:hAnsi="Bookman Old Style"/>
          <w:b/>
          <w:bCs/>
          <w:color w:val="4472C4" w:themeColor="accent1"/>
        </w:rPr>
        <w:t xml:space="preserve">Amendment in the formulae </w:t>
      </w:r>
    </w:p>
    <w:p w14:paraId="49D3CAB4" w14:textId="77777777" w:rsidR="006D596F" w:rsidRPr="00772827" w:rsidRDefault="006D596F" w:rsidP="006D596F">
      <w:pPr>
        <w:spacing w:after="0" w:line="360" w:lineRule="auto"/>
        <w:jc w:val="both"/>
        <w:rPr>
          <w:rFonts w:ascii="Bookman Old Style" w:hAnsi="Bookman Old Style"/>
          <w:b/>
          <w:bCs/>
        </w:rPr>
      </w:pPr>
      <w:r w:rsidRPr="002B5EC7">
        <w:rPr>
          <w:rFonts w:ascii="Bookman Old Style" w:hAnsi="Bookman Old Style"/>
        </w:rPr>
        <w:t>In terms of the remarks made by the Hon’ble Supreme Court, the GST Council, in its 47</w:t>
      </w:r>
      <w:r w:rsidRPr="002B5EC7">
        <w:rPr>
          <w:rFonts w:ascii="Bookman Old Style" w:hAnsi="Bookman Old Style"/>
          <w:vertAlign w:val="superscript"/>
        </w:rPr>
        <w:t>th</w:t>
      </w:r>
      <w:r w:rsidRPr="002B5EC7">
        <w:rPr>
          <w:rFonts w:ascii="Bookman Old Style" w:hAnsi="Bookman Old Style"/>
        </w:rPr>
        <w:t xml:space="preserve"> GST Council Meeting, proposed the following change which was incorporated in Rule 89(5) w.e.f. 05 July 2022 vide Notification No. 14/2022-CT;</w:t>
      </w:r>
    </w:p>
    <w:p w14:paraId="5D142F9C" w14:textId="77777777" w:rsidR="006D596F" w:rsidRPr="002B5EC7" w:rsidRDefault="006D596F" w:rsidP="006D596F">
      <w:pPr>
        <w:spacing w:line="360" w:lineRule="auto"/>
        <w:jc w:val="both"/>
        <w:rPr>
          <w:rFonts w:ascii="Bookman Old Style" w:hAnsi="Bookman Old Style"/>
          <w:b/>
          <w:bCs/>
          <w:i/>
          <w:iCs/>
          <w:u w:val="single"/>
        </w:rPr>
      </w:pPr>
      <w:r w:rsidRPr="002B5EC7">
        <w:rPr>
          <w:rFonts w:ascii="Bookman Old Style" w:hAnsi="Bookman Old Style"/>
          <w:i/>
          <w:iCs/>
        </w:rPr>
        <w:t>Maximum Refund Amount = {(Turnover of inverted rated supply of goods and services) x Net ITC ÷ Adjusted Total Turnover} - </w:t>
      </w:r>
      <w:r w:rsidRPr="002B5EC7">
        <w:rPr>
          <w:rFonts w:ascii="Bookman Old Style" w:hAnsi="Bookman Old Style"/>
          <w:b/>
          <w:bCs/>
          <w:i/>
          <w:iCs/>
          <w:u w:val="single"/>
        </w:rPr>
        <w:t>{tax payable on such inverted rated supply of goods and services x (Net ITC÷ ITC availed on inputs and input services)}.</w:t>
      </w:r>
    </w:p>
    <w:p w14:paraId="6A7353CD" w14:textId="77777777" w:rsidR="006D596F" w:rsidRPr="002B5EC7" w:rsidRDefault="006D596F" w:rsidP="006D596F">
      <w:pPr>
        <w:spacing w:line="360" w:lineRule="auto"/>
        <w:jc w:val="both"/>
        <w:rPr>
          <w:rFonts w:ascii="Bookman Old Style" w:hAnsi="Bookman Old Style"/>
        </w:rPr>
      </w:pPr>
      <w:r w:rsidRPr="002B5EC7">
        <w:rPr>
          <w:rFonts w:ascii="Bookman Old Style" w:hAnsi="Bookman Old Style"/>
        </w:rPr>
        <w:t>Accordingly, as per the revised formulae, the deduction of output tax would be in proportion to the ITC availed on goods. Thus, a revised calculation of the refund amount in the above example per the amended formulae is as follows:</w:t>
      </w:r>
    </w:p>
    <w:tbl>
      <w:tblPr>
        <w:tblW w:w="9265" w:type="dxa"/>
        <w:tblInd w:w="113" w:type="dxa"/>
        <w:tblLook w:val="04A0" w:firstRow="1" w:lastRow="0" w:firstColumn="1" w:lastColumn="0" w:noHBand="0" w:noVBand="1"/>
      </w:tblPr>
      <w:tblGrid>
        <w:gridCol w:w="1345"/>
        <w:gridCol w:w="7200"/>
        <w:gridCol w:w="720"/>
      </w:tblGrid>
      <w:tr w:rsidR="006D596F" w:rsidRPr="002B5EC7" w14:paraId="534CF6A4" w14:textId="77777777" w:rsidTr="003D0EB0">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2E165" w14:textId="77777777" w:rsidR="006D596F" w:rsidRPr="002B5EC7" w:rsidRDefault="006D596F" w:rsidP="003D0EB0">
            <w:pPr>
              <w:spacing w:after="0" w:line="240" w:lineRule="auto"/>
              <w:rPr>
                <w:rFonts w:ascii="Bookman Old Style" w:eastAsia="Times New Roman" w:hAnsi="Bookman Old Style" w:cs="Calibri"/>
                <w:b/>
                <w:bCs/>
                <w:color w:val="000000"/>
              </w:rPr>
            </w:pPr>
            <w:r w:rsidRPr="002B5EC7">
              <w:rPr>
                <w:rFonts w:ascii="Bookman Old Style" w:eastAsia="Times New Roman" w:hAnsi="Bookman Old Style" w:cs="Calibri"/>
                <w:b/>
                <w:bCs/>
                <w:color w:val="000000"/>
              </w:rPr>
              <w:t>Calc.</w:t>
            </w:r>
          </w:p>
        </w:tc>
        <w:tc>
          <w:tcPr>
            <w:tcW w:w="7200" w:type="dxa"/>
            <w:tcBorders>
              <w:top w:val="single" w:sz="4" w:space="0" w:color="auto"/>
              <w:left w:val="nil"/>
              <w:bottom w:val="single" w:sz="4" w:space="0" w:color="auto"/>
              <w:right w:val="single" w:sz="4" w:space="0" w:color="auto"/>
            </w:tcBorders>
            <w:shd w:val="clear" w:color="auto" w:fill="auto"/>
            <w:noWrap/>
            <w:vAlign w:val="bottom"/>
            <w:hideMark/>
          </w:tcPr>
          <w:p w14:paraId="1D6DDE8C" w14:textId="77777777" w:rsidR="006D596F" w:rsidRPr="002B5EC7" w:rsidRDefault="006D596F" w:rsidP="003D0EB0">
            <w:pPr>
              <w:spacing w:after="0" w:line="240" w:lineRule="auto"/>
              <w:rPr>
                <w:rFonts w:ascii="Bookman Old Style" w:eastAsia="Times New Roman" w:hAnsi="Bookman Old Style" w:cs="Calibri"/>
                <w:b/>
                <w:bCs/>
                <w:color w:val="000000"/>
              </w:rPr>
            </w:pPr>
            <w:r w:rsidRPr="002B5EC7">
              <w:rPr>
                <w:rFonts w:ascii="Bookman Old Style" w:eastAsia="Times New Roman" w:hAnsi="Bookman Old Style" w:cs="Calibri"/>
                <w:b/>
                <w:bCs/>
                <w:color w:val="000000"/>
              </w:rPr>
              <w:t>Particulars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AFF6832" w14:textId="77777777" w:rsidR="006D596F" w:rsidRPr="002B5EC7" w:rsidRDefault="006D596F" w:rsidP="003D0EB0">
            <w:pPr>
              <w:spacing w:after="0" w:line="240" w:lineRule="auto"/>
              <w:rPr>
                <w:rFonts w:ascii="Bookman Old Style" w:eastAsia="Times New Roman" w:hAnsi="Bookman Old Style" w:cs="Calibri"/>
                <w:b/>
                <w:bCs/>
                <w:color w:val="000000"/>
              </w:rPr>
            </w:pPr>
            <w:r w:rsidRPr="002B5EC7">
              <w:rPr>
                <w:rFonts w:ascii="Bookman Old Style" w:eastAsia="Times New Roman" w:hAnsi="Bookman Old Style" w:cs="Calibri"/>
                <w:b/>
                <w:bCs/>
                <w:color w:val="000000"/>
              </w:rPr>
              <w:t>GST</w:t>
            </w:r>
          </w:p>
        </w:tc>
      </w:tr>
      <w:tr w:rsidR="006D596F" w:rsidRPr="002B5EC7" w14:paraId="77FB72D3" w14:textId="77777777" w:rsidTr="003D0EB0">
        <w:trPr>
          <w:trHeight w:val="377"/>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9EDF6C"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A</w:t>
            </w:r>
          </w:p>
        </w:tc>
        <w:tc>
          <w:tcPr>
            <w:tcW w:w="7200" w:type="dxa"/>
            <w:tcBorders>
              <w:top w:val="nil"/>
              <w:left w:val="nil"/>
              <w:bottom w:val="single" w:sz="4" w:space="0" w:color="auto"/>
              <w:right w:val="single" w:sz="4" w:space="0" w:color="auto"/>
            </w:tcBorders>
            <w:shd w:val="clear" w:color="auto" w:fill="auto"/>
            <w:noWrap/>
            <w:vAlign w:val="bottom"/>
            <w:hideMark/>
          </w:tcPr>
          <w:p w14:paraId="4BEE1703"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ITC on inputs</w:t>
            </w:r>
          </w:p>
        </w:tc>
        <w:tc>
          <w:tcPr>
            <w:tcW w:w="720" w:type="dxa"/>
            <w:tcBorders>
              <w:top w:val="nil"/>
              <w:left w:val="nil"/>
              <w:bottom w:val="single" w:sz="4" w:space="0" w:color="auto"/>
              <w:right w:val="single" w:sz="4" w:space="0" w:color="auto"/>
            </w:tcBorders>
            <w:shd w:val="clear" w:color="auto" w:fill="auto"/>
            <w:noWrap/>
            <w:vAlign w:val="bottom"/>
            <w:hideMark/>
          </w:tcPr>
          <w:p w14:paraId="07F5B3B2" w14:textId="77777777" w:rsidR="006D596F" w:rsidRPr="002B5EC7" w:rsidRDefault="006D596F" w:rsidP="003D0EB0">
            <w:pPr>
              <w:spacing w:after="0" w:line="24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25</w:t>
            </w:r>
          </w:p>
        </w:tc>
      </w:tr>
      <w:tr w:rsidR="006D596F" w:rsidRPr="002B5EC7" w14:paraId="7823106E" w14:textId="77777777" w:rsidTr="003D0EB0">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710D94"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B</w:t>
            </w:r>
          </w:p>
        </w:tc>
        <w:tc>
          <w:tcPr>
            <w:tcW w:w="7200" w:type="dxa"/>
            <w:tcBorders>
              <w:top w:val="nil"/>
              <w:left w:val="nil"/>
              <w:bottom w:val="single" w:sz="4" w:space="0" w:color="auto"/>
              <w:right w:val="single" w:sz="4" w:space="0" w:color="auto"/>
            </w:tcBorders>
            <w:shd w:val="clear" w:color="auto" w:fill="auto"/>
            <w:noWrap/>
            <w:vAlign w:val="bottom"/>
            <w:hideMark/>
          </w:tcPr>
          <w:p w14:paraId="0022A33D"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ITC on services</w:t>
            </w:r>
          </w:p>
        </w:tc>
        <w:tc>
          <w:tcPr>
            <w:tcW w:w="720" w:type="dxa"/>
            <w:tcBorders>
              <w:top w:val="nil"/>
              <w:left w:val="nil"/>
              <w:bottom w:val="single" w:sz="4" w:space="0" w:color="auto"/>
              <w:right w:val="single" w:sz="4" w:space="0" w:color="auto"/>
            </w:tcBorders>
            <w:shd w:val="clear" w:color="auto" w:fill="auto"/>
            <w:noWrap/>
            <w:vAlign w:val="bottom"/>
            <w:hideMark/>
          </w:tcPr>
          <w:p w14:paraId="4BDCFEAD" w14:textId="77777777" w:rsidR="006D596F" w:rsidRPr="002B5EC7" w:rsidRDefault="006D596F" w:rsidP="003D0EB0">
            <w:pPr>
              <w:spacing w:after="0" w:line="24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15</w:t>
            </w:r>
          </w:p>
        </w:tc>
      </w:tr>
      <w:tr w:rsidR="006D596F" w:rsidRPr="002B5EC7" w14:paraId="01B591B7" w14:textId="77777777" w:rsidTr="003D0EB0">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3A5587"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C=A+B</w:t>
            </w:r>
          </w:p>
        </w:tc>
        <w:tc>
          <w:tcPr>
            <w:tcW w:w="7200" w:type="dxa"/>
            <w:tcBorders>
              <w:top w:val="nil"/>
              <w:left w:val="nil"/>
              <w:bottom w:val="single" w:sz="4" w:space="0" w:color="auto"/>
              <w:right w:val="single" w:sz="4" w:space="0" w:color="auto"/>
            </w:tcBorders>
            <w:shd w:val="clear" w:color="auto" w:fill="auto"/>
            <w:noWrap/>
            <w:vAlign w:val="bottom"/>
            <w:hideMark/>
          </w:tcPr>
          <w:p w14:paraId="7CF008C3"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Total ITC</w:t>
            </w:r>
          </w:p>
        </w:tc>
        <w:tc>
          <w:tcPr>
            <w:tcW w:w="720" w:type="dxa"/>
            <w:tcBorders>
              <w:top w:val="nil"/>
              <w:left w:val="nil"/>
              <w:bottom w:val="single" w:sz="4" w:space="0" w:color="auto"/>
              <w:right w:val="single" w:sz="4" w:space="0" w:color="auto"/>
            </w:tcBorders>
            <w:shd w:val="clear" w:color="auto" w:fill="auto"/>
            <w:noWrap/>
            <w:vAlign w:val="bottom"/>
            <w:hideMark/>
          </w:tcPr>
          <w:p w14:paraId="1F8D1043" w14:textId="77777777" w:rsidR="006D596F" w:rsidRPr="002B5EC7" w:rsidRDefault="006D596F" w:rsidP="003D0EB0">
            <w:pPr>
              <w:spacing w:after="0" w:line="24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40</w:t>
            </w:r>
          </w:p>
        </w:tc>
      </w:tr>
      <w:tr w:rsidR="006D596F" w:rsidRPr="002B5EC7" w14:paraId="285A64D0" w14:textId="77777777" w:rsidTr="003D0EB0">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DA3D5E0"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D</w:t>
            </w:r>
          </w:p>
        </w:tc>
        <w:tc>
          <w:tcPr>
            <w:tcW w:w="7200" w:type="dxa"/>
            <w:tcBorders>
              <w:top w:val="nil"/>
              <w:left w:val="nil"/>
              <w:bottom w:val="single" w:sz="4" w:space="0" w:color="auto"/>
              <w:right w:val="single" w:sz="4" w:space="0" w:color="auto"/>
            </w:tcBorders>
            <w:shd w:val="clear" w:color="auto" w:fill="auto"/>
            <w:noWrap/>
            <w:vAlign w:val="bottom"/>
            <w:hideMark/>
          </w:tcPr>
          <w:p w14:paraId="0150B54B"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Inverted rate turnover</w:t>
            </w:r>
          </w:p>
        </w:tc>
        <w:tc>
          <w:tcPr>
            <w:tcW w:w="720" w:type="dxa"/>
            <w:tcBorders>
              <w:top w:val="nil"/>
              <w:left w:val="nil"/>
              <w:bottom w:val="single" w:sz="4" w:space="0" w:color="auto"/>
              <w:right w:val="single" w:sz="4" w:space="0" w:color="auto"/>
            </w:tcBorders>
            <w:shd w:val="clear" w:color="auto" w:fill="auto"/>
            <w:noWrap/>
            <w:vAlign w:val="bottom"/>
            <w:hideMark/>
          </w:tcPr>
          <w:p w14:paraId="1047AA3B" w14:textId="77777777" w:rsidR="006D596F" w:rsidRPr="002B5EC7" w:rsidRDefault="006D596F" w:rsidP="003D0EB0">
            <w:pPr>
              <w:spacing w:after="0" w:line="24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100</w:t>
            </w:r>
          </w:p>
        </w:tc>
      </w:tr>
      <w:tr w:rsidR="006D596F" w:rsidRPr="002B5EC7" w14:paraId="4D4D4DC1" w14:textId="77777777" w:rsidTr="003D0EB0">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DA5A90"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E</w:t>
            </w:r>
          </w:p>
        </w:tc>
        <w:tc>
          <w:tcPr>
            <w:tcW w:w="7200" w:type="dxa"/>
            <w:tcBorders>
              <w:top w:val="nil"/>
              <w:left w:val="nil"/>
              <w:bottom w:val="single" w:sz="4" w:space="0" w:color="auto"/>
              <w:right w:val="single" w:sz="4" w:space="0" w:color="auto"/>
            </w:tcBorders>
            <w:shd w:val="clear" w:color="auto" w:fill="auto"/>
            <w:noWrap/>
            <w:vAlign w:val="bottom"/>
            <w:hideMark/>
          </w:tcPr>
          <w:p w14:paraId="09D12417"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Adjusted Total turnover</w:t>
            </w:r>
          </w:p>
        </w:tc>
        <w:tc>
          <w:tcPr>
            <w:tcW w:w="720" w:type="dxa"/>
            <w:tcBorders>
              <w:top w:val="nil"/>
              <w:left w:val="nil"/>
              <w:bottom w:val="single" w:sz="4" w:space="0" w:color="auto"/>
              <w:right w:val="single" w:sz="4" w:space="0" w:color="auto"/>
            </w:tcBorders>
            <w:shd w:val="clear" w:color="auto" w:fill="auto"/>
            <w:noWrap/>
            <w:vAlign w:val="bottom"/>
            <w:hideMark/>
          </w:tcPr>
          <w:p w14:paraId="3762330D" w14:textId="77777777" w:rsidR="006D596F" w:rsidRPr="002B5EC7" w:rsidRDefault="006D596F" w:rsidP="003D0EB0">
            <w:pPr>
              <w:spacing w:after="0" w:line="24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150</w:t>
            </w:r>
          </w:p>
        </w:tc>
      </w:tr>
      <w:tr w:rsidR="006D596F" w:rsidRPr="002B5EC7" w14:paraId="4FBD1C10" w14:textId="77777777" w:rsidTr="003D0EB0">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9ACC6F9"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F</w:t>
            </w:r>
          </w:p>
        </w:tc>
        <w:tc>
          <w:tcPr>
            <w:tcW w:w="7200" w:type="dxa"/>
            <w:tcBorders>
              <w:top w:val="nil"/>
              <w:left w:val="nil"/>
              <w:bottom w:val="single" w:sz="4" w:space="0" w:color="auto"/>
              <w:right w:val="single" w:sz="4" w:space="0" w:color="auto"/>
            </w:tcBorders>
            <w:shd w:val="clear" w:color="auto" w:fill="auto"/>
            <w:noWrap/>
            <w:vAlign w:val="bottom"/>
            <w:hideMark/>
          </w:tcPr>
          <w:p w14:paraId="6459FA79"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 xml:space="preserve">Output tax on inverted rate turnover </w:t>
            </w:r>
          </w:p>
        </w:tc>
        <w:tc>
          <w:tcPr>
            <w:tcW w:w="720" w:type="dxa"/>
            <w:tcBorders>
              <w:top w:val="nil"/>
              <w:left w:val="nil"/>
              <w:bottom w:val="single" w:sz="4" w:space="0" w:color="auto"/>
              <w:right w:val="single" w:sz="4" w:space="0" w:color="auto"/>
            </w:tcBorders>
            <w:shd w:val="clear" w:color="auto" w:fill="auto"/>
            <w:noWrap/>
            <w:vAlign w:val="bottom"/>
            <w:hideMark/>
          </w:tcPr>
          <w:p w14:paraId="6AEAE0C0" w14:textId="77777777" w:rsidR="006D596F" w:rsidRPr="002B5EC7" w:rsidRDefault="006D596F" w:rsidP="003D0EB0">
            <w:pPr>
              <w:spacing w:after="0" w:line="24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12</w:t>
            </w:r>
          </w:p>
        </w:tc>
      </w:tr>
      <w:tr w:rsidR="006D596F" w:rsidRPr="002B5EC7" w14:paraId="04E2BA66" w14:textId="77777777" w:rsidTr="003D0EB0">
        <w:trPr>
          <w:trHeight w:val="242"/>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EA6476" w14:textId="77777777" w:rsidR="006D596F" w:rsidRPr="002B5EC7" w:rsidRDefault="006D596F" w:rsidP="003D0EB0">
            <w:pPr>
              <w:spacing w:after="0" w:line="240" w:lineRule="auto"/>
              <w:rPr>
                <w:rFonts w:ascii="Bookman Old Style" w:eastAsia="Times New Roman" w:hAnsi="Bookman Old Style" w:cs="Calibri"/>
                <w:b/>
                <w:bCs/>
                <w:color w:val="000000"/>
                <w:u w:val="single"/>
              </w:rPr>
            </w:pPr>
            <w:r w:rsidRPr="002B5EC7">
              <w:rPr>
                <w:rFonts w:ascii="Bookman Old Style" w:eastAsia="Times New Roman" w:hAnsi="Bookman Old Style" w:cs="Calibri"/>
                <w:b/>
                <w:bCs/>
                <w:color w:val="000000"/>
                <w:u w:val="single"/>
              </w:rPr>
              <w:t>G=F*A/C</w:t>
            </w:r>
          </w:p>
        </w:tc>
        <w:tc>
          <w:tcPr>
            <w:tcW w:w="7200" w:type="dxa"/>
            <w:tcBorders>
              <w:top w:val="nil"/>
              <w:left w:val="nil"/>
              <w:bottom w:val="single" w:sz="4" w:space="0" w:color="auto"/>
              <w:right w:val="single" w:sz="4" w:space="0" w:color="auto"/>
            </w:tcBorders>
            <w:shd w:val="clear" w:color="auto" w:fill="auto"/>
            <w:vAlign w:val="bottom"/>
            <w:hideMark/>
          </w:tcPr>
          <w:p w14:paraId="4F1CC3C1" w14:textId="77777777" w:rsidR="006D596F" w:rsidRPr="002B5EC7" w:rsidRDefault="006D596F" w:rsidP="003D0EB0">
            <w:pPr>
              <w:spacing w:after="0" w:line="240" w:lineRule="auto"/>
              <w:jc w:val="both"/>
              <w:rPr>
                <w:rFonts w:ascii="Bookman Old Style" w:eastAsia="Times New Roman" w:hAnsi="Bookman Old Style" w:cs="Calibri"/>
                <w:b/>
                <w:bCs/>
                <w:color w:val="000000"/>
                <w:u w:val="single"/>
              </w:rPr>
            </w:pPr>
            <w:r w:rsidRPr="002B5EC7">
              <w:rPr>
                <w:rFonts w:ascii="Bookman Old Style" w:eastAsia="Times New Roman" w:hAnsi="Bookman Old Style" w:cs="Calibri"/>
                <w:b/>
                <w:bCs/>
                <w:color w:val="000000"/>
                <w:u w:val="single"/>
              </w:rPr>
              <w:t>Output tax on inverted rate turnover in proportion to input goods</w:t>
            </w:r>
          </w:p>
        </w:tc>
        <w:tc>
          <w:tcPr>
            <w:tcW w:w="720" w:type="dxa"/>
            <w:tcBorders>
              <w:top w:val="nil"/>
              <w:left w:val="nil"/>
              <w:bottom w:val="single" w:sz="4" w:space="0" w:color="auto"/>
              <w:right w:val="single" w:sz="4" w:space="0" w:color="auto"/>
            </w:tcBorders>
            <w:shd w:val="clear" w:color="auto" w:fill="auto"/>
            <w:noWrap/>
            <w:vAlign w:val="bottom"/>
            <w:hideMark/>
          </w:tcPr>
          <w:p w14:paraId="1D8EA87E" w14:textId="77777777" w:rsidR="006D596F" w:rsidRPr="002B5EC7" w:rsidRDefault="006D596F" w:rsidP="003D0EB0">
            <w:pPr>
              <w:spacing w:after="0" w:line="240" w:lineRule="auto"/>
              <w:jc w:val="right"/>
              <w:rPr>
                <w:rFonts w:ascii="Bookman Old Style" w:eastAsia="Times New Roman" w:hAnsi="Bookman Old Style" w:cs="Calibri"/>
                <w:b/>
                <w:bCs/>
                <w:color w:val="000000"/>
                <w:u w:val="single"/>
              </w:rPr>
            </w:pPr>
            <w:r w:rsidRPr="002B5EC7">
              <w:rPr>
                <w:rFonts w:ascii="Bookman Old Style" w:eastAsia="Times New Roman" w:hAnsi="Bookman Old Style" w:cs="Calibri"/>
                <w:b/>
                <w:bCs/>
                <w:color w:val="000000"/>
                <w:u w:val="single"/>
              </w:rPr>
              <w:t>7.5</w:t>
            </w:r>
          </w:p>
        </w:tc>
      </w:tr>
      <w:tr w:rsidR="006D596F" w:rsidRPr="002B5EC7" w14:paraId="2502B27D" w14:textId="77777777" w:rsidTr="003D0EB0">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9159F9E"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H=A*D/E-G</w:t>
            </w:r>
          </w:p>
        </w:tc>
        <w:tc>
          <w:tcPr>
            <w:tcW w:w="7200" w:type="dxa"/>
            <w:tcBorders>
              <w:top w:val="nil"/>
              <w:left w:val="nil"/>
              <w:bottom w:val="single" w:sz="4" w:space="0" w:color="auto"/>
              <w:right w:val="single" w:sz="4" w:space="0" w:color="auto"/>
            </w:tcBorders>
            <w:shd w:val="clear" w:color="auto" w:fill="auto"/>
            <w:noWrap/>
            <w:vAlign w:val="bottom"/>
            <w:hideMark/>
          </w:tcPr>
          <w:p w14:paraId="1D992B98" w14:textId="77777777" w:rsidR="006D596F" w:rsidRPr="002B5EC7" w:rsidRDefault="006D596F" w:rsidP="003D0EB0">
            <w:pPr>
              <w:spacing w:after="0" w:line="240" w:lineRule="auto"/>
              <w:rPr>
                <w:rFonts w:ascii="Bookman Old Style" w:eastAsia="Times New Roman" w:hAnsi="Bookman Old Style" w:cs="Calibri"/>
                <w:color w:val="000000"/>
              </w:rPr>
            </w:pPr>
            <w:r w:rsidRPr="002B5EC7">
              <w:rPr>
                <w:rFonts w:ascii="Bookman Old Style" w:eastAsia="Times New Roman" w:hAnsi="Bookman Old Style" w:cs="Calibri"/>
                <w:color w:val="000000"/>
              </w:rPr>
              <w:t>Refund eligible</w:t>
            </w:r>
          </w:p>
        </w:tc>
        <w:tc>
          <w:tcPr>
            <w:tcW w:w="720" w:type="dxa"/>
            <w:tcBorders>
              <w:top w:val="nil"/>
              <w:left w:val="nil"/>
              <w:bottom w:val="single" w:sz="4" w:space="0" w:color="auto"/>
              <w:right w:val="single" w:sz="4" w:space="0" w:color="auto"/>
            </w:tcBorders>
            <w:shd w:val="clear" w:color="auto" w:fill="auto"/>
            <w:noWrap/>
            <w:vAlign w:val="bottom"/>
            <w:hideMark/>
          </w:tcPr>
          <w:p w14:paraId="182A2CBB" w14:textId="77777777" w:rsidR="006D596F" w:rsidRPr="002B5EC7" w:rsidRDefault="006D596F" w:rsidP="003D0EB0">
            <w:pPr>
              <w:spacing w:after="0" w:line="240" w:lineRule="auto"/>
              <w:jc w:val="right"/>
              <w:rPr>
                <w:rFonts w:ascii="Bookman Old Style" w:eastAsia="Times New Roman" w:hAnsi="Bookman Old Style" w:cs="Calibri"/>
                <w:color w:val="000000"/>
              </w:rPr>
            </w:pPr>
            <w:r w:rsidRPr="002B5EC7">
              <w:rPr>
                <w:rFonts w:ascii="Bookman Old Style" w:eastAsia="Times New Roman" w:hAnsi="Bookman Old Style" w:cs="Calibri"/>
                <w:color w:val="000000"/>
              </w:rPr>
              <w:t>9.17</w:t>
            </w:r>
          </w:p>
        </w:tc>
      </w:tr>
    </w:tbl>
    <w:p w14:paraId="738633DB" w14:textId="77777777" w:rsidR="006D596F" w:rsidRPr="00772827" w:rsidRDefault="006D596F" w:rsidP="006D596F">
      <w:pPr>
        <w:spacing w:after="0" w:line="360" w:lineRule="auto"/>
        <w:jc w:val="both"/>
        <w:rPr>
          <w:rFonts w:ascii="Bookman Old Style" w:hAnsi="Bookman Old Style"/>
        </w:rPr>
      </w:pPr>
      <w:r w:rsidRPr="002B5EC7">
        <w:rPr>
          <w:rFonts w:ascii="Bookman Old Style" w:hAnsi="Bookman Old Style"/>
        </w:rPr>
        <w:t xml:space="preserve">On a conjoint reading of the above two tables, it </w:t>
      </w:r>
      <w:r>
        <w:rPr>
          <w:rFonts w:ascii="Bookman Old Style" w:hAnsi="Bookman Old Style"/>
        </w:rPr>
        <w:t xml:space="preserve">is </w:t>
      </w:r>
      <w:r w:rsidRPr="002B5EC7">
        <w:rPr>
          <w:rFonts w:ascii="Bookman Old Style" w:hAnsi="Bookman Old Style"/>
        </w:rPr>
        <w:t xml:space="preserve">clear that earlier, the taxpayer was entitled to a refund of INR 4.67 and after the change, the taxpayer would be entitled to a refund of INR 9.17. Accordingly, with the above amendment, the </w:t>
      </w:r>
      <w:r w:rsidRPr="00772827">
        <w:rPr>
          <w:rFonts w:ascii="Bookman Old Style" w:hAnsi="Bookman Old Style"/>
        </w:rPr>
        <w:t xml:space="preserve">anomaly that existed before has been </w:t>
      </w:r>
      <w:r>
        <w:rPr>
          <w:rFonts w:ascii="Bookman Old Style" w:hAnsi="Bookman Old Style"/>
        </w:rPr>
        <w:t>rectified to certain extent</w:t>
      </w:r>
      <w:r w:rsidRPr="00772827">
        <w:rPr>
          <w:rFonts w:ascii="Bookman Old Style" w:hAnsi="Bookman Old Style"/>
        </w:rPr>
        <w:t xml:space="preserve">. </w:t>
      </w:r>
    </w:p>
    <w:p w14:paraId="7E805F93" w14:textId="77777777" w:rsidR="006D596F" w:rsidRDefault="006D596F" w:rsidP="006D596F">
      <w:pPr>
        <w:spacing w:after="0" w:line="360" w:lineRule="auto"/>
        <w:jc w:val="both"/>
        <w:rPr>
          <w:rFonts w:ascii="Bookman Old Style" w:hAnsi="Bookman Old Style"/>
          <w:b/>
          <w:bCs/>
        </w:rPr>
      </w:pPr>
    </w:p>
    <w:p w14:paraId="1DDF96E5" w14:textId="77777777" w:rsidR="006D596F" w:rsidRPr="006D596F" w:rsidRDefault="006D596F" w:rsidP="006D596F">
      <w:pPr>
        <w:spacing w:after="0" w:line="360" w:lineRule="auto"/>
        <w:jc w:val="both"/>
        <w:rPr>
          <w:rFonts w:ascii="Bookman Old Style" w:hAnsi="Bookman Old Style"/>
          <w:b/>
          <w:bCs/>
          <w:color w:val="4472C4" w:themeColor="accent1"/>
        </w:rPr>
      </w:pPr>
      <w:r w:rsidRPr="006D596F">
        <w:rPr>
          <w:rFonts w:ascii="Bookman Old Style" w:hAnsi="Bookman Old Style"/>
          <w:b/>
          <w:bCs/>
          <w:color w:val="4472C4" w:themeColor="accent1"/>
        </w:rPr>
        <w:t>Whether the benefit of the amendment could be taken for the past period?</w:t>
      </w:r>
    </w:p>
    <w:p w14:paraId="25AC98D9" w14:textId="77777777" w:rsidR="006D596F" w:rsidRPr="002B5EC7" w:rsidRDefault="006D596F" w:rsidP="006D596F">
      <w:pPr>
        <w:spacing w:after="0" w:line="360" w:lineRule="auto"/>
        <w:jc w:val="both"/>
        <w:rPr>
          <w:rFonts w:ascii="Bookman Old Style" w:hAnsi="Bookman Old Style"/>
        </w:rPr>
      </w:pPr>
      <w:r w:rsidRPr="002B5EC7">
        <w:rPr>
          <w:rFonts w:ascii="Bookman Old Style" w:hAnsi="Bookman Old Style"/>
        </w:rPr>
        <w:t>As discussed above, the change would be a breather for the industry, however, at the same time, we may need to look at the past and analyse if the amendment could be utilized for the past periods. In this regard, the application of the above amendment for past period refunds is as tabulated below;</w:t>
      </w:r>
    </w:p>
    <w:tbl>
      <w:tblPr>
        <w:tblStyle w:val="TableGrid"/>
        <w:tblW w:w="0" w:type="auto"/>
        <w:tblLook w:val="04A0" w:firstRow="1" w:lastRow="0" w:firstColumn="1" w:lastColumn="0" w:noHBand="0" w:noVBand="1"/>
      </w:tblPr>
      <w:tblGrid>
        <w:gridCol w:w="454"/>
        <w:gridCol w:w="3255"/>
        <w:gridCol w:w="5307"/>
      </w:tblGrid>
      <w:tr w:rsidR="006D596F" w:rsidRPr="002B5EC7" w14:paraId="2796CE87" w14:textId="77777777" w:rsidTr="003D0EB0">
        <w:tc>
          <w:tcPr>
            <w:tcW w:w="454" w:type="dxa"/>
          </w:tcPr>
          <w:p w14:paraId="69708583" w14:textId="77777777" w:rsidR="006D596F" w:rsidRPr="002B5EC7" w:rsidRDefault="006D596F" w:rsidP="003D0EB0">
            <w:pPr>
              <w:spacing w:line="360" w:lineRule="auto"/>
              <w:jc w:val="both"/>
              <w:rPr>
                <w:rFonts w:ascii="Bookman Old Style" w:hAnsi="Bookman Old Style"/>
                <w:b/>
                <w:bCs/>
              </w:rPr>
            </w:pPr>
            <w:r w:rsidRPr="002B5EC7">
              <w:rPr>
                <w:rFonts w:ascii="Bookman Old Style" w:hAnsi="Bookman Old Style"/>
                <w:b/>
                <w:bCs/>
              </w:rPr>
              <w:t>N.</w:t>
            </w:r>
          </w:p>
        </w:tc>
        <w:tc>
          <w:tcPr>
            <w:tcW w:w="3362" w:type="dxa"/>
          </w:tcPr>
          <w:p w14:paraId="1CBED3C6" w14:textId="77777777" w:rsidR="006D596F" w:rsidRPr="002B5EC7" w:rsidRDefault="006D596F" w:rsidP="003D0EB0">
            <w:pPr>
              <w:spacing w:line="360" w:lineRule="auto"/>
              <w:jc w:val="both"/>
              <w:rPr>
                <w:rFonts w:ascii="Bookman Old Style" w:hAnsi="Bookman Old Style"/>
                <w:b/>
                <w:bCs/>
              </w:rPr>
            </w:pPr>
            <w:r w:rsidRPr="002B5EC7">
              <w:rPr>
                <w:rFonts w:ascii="Bookman Old Style" w:hAnsi="Bookman Old Style"/>
                <w:b/>
                <w:bCs/>
              </w:rPr>
              <w:t>Situation</w:t>
            </w:r>
          </w:p>
        </w:tc>
        <w:tc>
          <w:tcPr>
            <w:tcW w:w="5534" w:type="dxa"/>
          </w:tcPr>
          <w:p w14:paraId="5FCF1CF5" w14:textId="77777777" w:rsidR="006D596F" w:rsidRPr="002B5EC7" w:rsidRDefault="006D596F" w:rsidP="003D0EB0">
            <w:pPr>
              <w:spacing w:line="360" w:lineRule="auto"/>
              <w:jc w:val="both"/>
              <w:rPr>
                <w:rFonts w:ascii="Bookman Old Style" w:hAnsi="Bookman Old Style"/>
                <w:b/>
                <w:bCs/>
              </w:rPr>
            </w:pPr>
            <w:r>
              <w:rPr>
                <w:rFonts w:ascii="Bookman Old Style" w:hAnsi="Bookman Old Style"/>
                <w:b/>
                <w:bCs/>
              </w:rPr>
              <w:t>Retrospective applicability of amendment</w:t>
            </w:r>
          </w:p>
        </w:tc>
      </w:tr>
      <w:tr w:rsidR="006D596F" w:rsidRPr="002B5EC7" w14:paraId="7BA5EE1F" w14:textId="77777777" w:rsidTr="003D0EB0">
        <w:tc>
          <w:tcPr>
            <w:tcW w:w="454" w:type="dxa"/>
          </w:tcPr>
          <w:p w14:paraId="5F7DDD9E" w14:textId="77777777" w:rsidR="006D596F" w:rsidRPr="002B5EC7" w:rsidRDefault="006D596F" w:rsidP="003D0EB0">
            <w:pPr>
              <w:spacing w:line="360" w:lineRule="auto"/>
              <w:jc w:val="both"/>
              <w:rPr>
                <w:rFonts w:ascii="Bookman Old Style" w:hAnsi="Bookman Old Style"/>
              </w:rPr>
            </w:pPr>
            <w:r w:rsidRPr="002B5EC7">
              <w:rPr>
                <w:rFonts w:ascii="Bookman Old Style" w:hAnsi="Bookman Old Style"/>
              </w:rPr>
              <w:t>1</w:t>
            </w:r>
          </w:p>
        </w:tc>
        <w:tc>
          <w:tcPr>
            <w:tcW w:w="3362" w:type="dxa"/>
          </w:tcPr>
          <w:p w14:paraId="7AABE8A9" w14:textId="77777777" w:rsidR="006D596F" w:rsidRPr="002B5EC7" w:rsidRDefault="006D596F" w:rsidP="003D0EB0">
            <w:pPr>
              <w:spacing w:line="360" w:lineRule="auto"/>
              <w:jc w:val="both"/>
              <w:rPr>
                <w:rFonts w:ascii="Bookman Old Style" w:hAnsi="Bookman Old Style"/>
              </w:rPr>
            </w:pPr>
            <w:r w:rsidRPr="002B5EC7">
              <w:rPr>
                <w:rFonts w:ascii="Bookman Old Style" w:hAnsi="Bookman Old Style"/>
              </w:rPr>
              <w:t>Refund pertains to ITC accumulated post-July 2022</w:t>
            </w:r>
          </w:p>
        </w:tc>
        <w:tc>
          <w:tcPr>
            <w:tcW w:w="5534" w:type="dxa"/>
          </w:tcPr>
          <w:p w14:paraId="30099BAC" w14:textId="77777777" w:rsidR="006D596F" w:rsidRPr="002B5EC7" w:rsidRDefault="006D596F" w:rsidP="003D0EB0">
            <w:pPr>
              <w:spacing w:line="360" w:lineRule="auto"/>
              <w:jc w:val="both"/>
              <w:rPr>
                <w:rFonts w:ascii="Bookman Old Style" w:hAnsi="Bookman Old Style"/>
              </w:rPr>
            </w:pPr>
            <w:r w:rsidRPr="002B5EC7">
              <w:rPr>
                <w:rFonts w:ascii="Bookman Old Style" w:hAnsi="Bookman Old Style"/>
              </w:rPr>
              <w:t>The amendment would apply</w:t>
            </w:r>
          </w:p>
        </w:tc>
      </w:tr>
      <w:tr w:rsidR="006D596F" w:rsidRPr="002B5EC7" w14:paraId="540D7CB8" w14:textId="77777777" w:rsidTr="003D0EB0">
        <w:tc>
          <w:tcPr>
            <w:tcW w:w="454" w:type="dxa"/>
          </w:tcPr>
          <w:p w14:paraId="27AD16E5" w14:textId="77777777" w:rsidR="006D596F" w:rsidRPr="002B5EC7" w:rsidRDefault="006D596F" w:rsidP="003D0EB0">
            <w:pPr>
              <w:spacing w:line="360" w:lineRule="auto"/>
              <w:jc w:val="both"/>
              <w:rPr>
                <w:rFonts w:ascii="Bookman Old Style" w:hAnsi="Bookman Old Style"/>
              </w:rPr>
            </w:pPr>
            <w:r w:rsidRPr="002B5EC7">
              <w:rPr>
                <w:rFonts w:ascii="Bookman Old Style" w:hAnsi="Bookman Old Style"/>
              </w:rPr>
              <w:t>2</w:t>
            </w:r>
          </w:p>
        </w:tc>
        <w:tc>
          <w:tcPr>
            <w:tcW w:w="8896" w:type="dxa"/>
            <w:gridSpan w:val="2"/>
          </w:tcPr>
          <w:p w14:paraId="36541DF1" w14:textId="77777777" w:rsidR="006D596F" w:rsidRPr="002B5EC7" w:rsidRDefault="006D596F" w:rsidP="003D0EB0">
            <w:pPr>
              <w:spacing w:line="360" w:lineRule="auto"/>
              <w:jc w:val="both"/>
              <w:rPr>
                <w:rFonts w:ascii="Bookman Old Style" w:hAnsi="Bookman Old Style"/>
              </w:rPr>
            </w:pPr>
            <w:r w:rsidRPr="002B5EC7">
              <w:rPr>
                <w:rFonts w:ascii="Bookman Old Style" w:hAnsi="Bookman Old Style"/>
              </w:rPr>
              <w:t xml:space="preserve">Refund pertains to ITC accumulated before July 2022 </w:t>
            </w:r>
          </w:p>
        </w:tc>
      </w:tr>
      <w:tr w:rsidR="006D596F" w:rsidRPr="002B5EC7" w14:paraId="07B92356" w14:textId="77777777" w:rsidTr="003D0EB0">
        <w:tc>
          <w:tcPr>
            <w:tcW w:w="454" w:type="dxa"/>
          </w:tcPr>
          <w:p w14:paraId="24767457" w14:textId="77777777" w:rsidR="006D596F" w:rsidRPr="002B5EC7" w:rsidRDefault="006D596F" w:rsidP="003D0EB0">
            <w:pPr>
              <w:spacing w:line="360" w:lineRule="auto"/>
              <w:jc w:val="both"/>
              <w:rPr>
                <w:rFonts w:ascii="Bookman Old Style" w:hAnsi="Bookman Old Style"/>
              </w:rPr>
            </w:pPr>
            <w:r>
              <w:rPr>
                <w:rFonts w:ascii="Bookman Old Style" w:hAnsi="Bookman Old Style"/>
              </w:rPr>
              <w:t>A</w:t>
            </w:r>
          </w:p>
        </w:tc>
        <w:tc>
          <w:tcPr>
            <w:tcW w:w="3362" w:type="dxa"/>
          </w:tcPr>
          <w:p w14:paraId="6F59EABF" w14:textId="77777777" w:rsidR="006D596F" w:rsidRPr="002B5EC7" w:rsidRDefault="006D596F" w:rsidP="003D0EB0">
            <w:pPr>
              <w:spacing w:line="360" w:lineRule="auto"/>
              <w:jc w:val="both"/>
              <w:rPr>
                <w:rFonts w:ascii="Bookman Old Style" w:hAnsi="Bookman Old Style"/>
              </w:rPr>
            </w:pPr>
            <w:r w:rsidRPr="002B5EC7">
              <w:rPr>
                <w:rFonts w:ascii="Bookman Old Style" w:hAnsi="Bookman Old Style"/>
              </w:rPr>
              <w:t xml:space="preserve">Refund </w:t>
            </w:r>
            <w:r>
              <w:rPr>
                <w:rFonts w:ascii="Bookman Old Style" w:hAnsi="Bookman Old Style"/>
              </w:rPr>
              <w:t>applications wherein ITC of input services was claimed and which are presently in litigation.</w:t>
            </w:r>
          </w:p>
        </w:tc>
        <w:tc>
          <w:tcPr>
            <w:tcW w:w="5534" w:type="dxa"/>
          </w:tcPr>
          <w:p w14:paraId="678F839E" w14:textId="77777777" w:rsidR="006D596F" w:rsidRPr="002B5EC7" w:rsidRDefault="006D596F" w:rsidP="003D0EB0">
            <w:pPr>
              <w:spacing w:line="360" w:lineRule="auto"/>
              <w:jc w:val="both"/>
              <w:rPr>
                <w:rFonts w:ascii="Bookman Old Style" w:hAnsi="Bookman Old Style"/>
              </w:rPr>
            </w:pPr>
            <w:r>
              <w:rPr>
                <w:rFonts w:ascii="Bookman Old Style" w:hAnsi="Bookman Old Style"/>
              </w:rPr>
              <w:t>As per the Hon’ble Supreme Court’s order, the refund of ITC of input service is not eligible. However, the applicants may file additional submissions to claim the benefit of the new formulae. The grounds for retrospective application of the formulae are as discussed below.</w:t>
            </w:r>
          </w:p>
        </w:tc>
      </w:tr>
      <w:tr w:rsidR="006D596F" w:rsidRPr="002B5EC7" w14:paraId="58AC96B4" w14:textId="77777777" w:rsidTr="003D0EB0">
        <w:tc>
          <w:tcPr>
            <w:tcW w:w="454" w:type="dxa"/>
          </w:tcPr>
          <w:p w14:paraId="648D5309" w14:textId="77777777" w:rsidR="006D596F" w:rsidRPr="002B5EC7" w:rsidRDefault="006D596F" w:rsidP="003D0EB0">
            <w:pPr>
              <w:spacing w:line="360" w:lineRule="auto"/>
              <w:jc w:val="both"/>
              <w:rPr>
                <w:rFonts w:ascii="Bookman Old Style" w:hAnsi="Bookman Old Style"/>
              </w:rPr>
            </w:pPr>
            <w:r>
              <w:rPr>
                <w:rFonts w:ascii="Bookman Old Style" w:hAnsi="Bookman Old Style"/>
              </w:rPr>
              <w:t>B</w:t>
            </w:r>
          </w:p>
        </w:tc>
        <w:tc>
          <w:tcPr>
            <w:tcW w:w="3362" w:type="dxa"/>
          </w:tcPr>
          <w:p w14:paraId="1CB77456" w14:textId="77777777" w:rsidR="006D596F" w:rsidRDefault="006D596F" w:rsidP="003D0EB0">
            <w:pPr>
              <w:spacing w:line="360" w:lineRule="auto"/>
              <w:jc w:val="both"/>
              <w:rPr>
                <w:rFonts w:ascii="Bookman Old Style" w:hAnsi="Bookman Old Style"/>
              </w:rPr>
            </w:pPr>
            <w:r>
              <w:rPr>
                <w:rFonts w:ascii="Bookman Old Style" w:hAnsi="Bookman Old Style"/>
              </w:rPr>
              <w:t>A r</w:t>
            </w:r>
            <w:r w:rsidRPr="002B5EC7">
              <w:rPr>
                <w:rFonts w:ascii="Bookman Old Style" w:hAnsi="Bookman Old Style"/>
              </w:rPr>
              <w:t>efund application has not been filed but the limitation period to file a refund has not expired</w:t>
            </w:r>
            <w:r>
              <w:rPr>
                <w:rFonts w:ascii="Bookman Old Style" w:hAnsi="Bookman Old Style"/>
              </w:rPr>
              <w:t>.</w:t>
            </w:r>
          </w:p>
          <w:p w14:paraId="44F6C894" w14:textId="77777777" w:rsidR="006D596F" w:rsidRPr="002B5EC7" w:rsidRDefault="006D596F" w:rsidP="003D0EB0">
            <w:pPr>
              <w:spacing w:line="360" w:lineRule="auto"/>
              <w:jc w:val="both"/>
              <w:rPr>
                <w:rFonts w:ascii="Bookman Old Style" w:hAnsi="Bookman Old Style"/>
              </w:rPr>
            </w:pPr>
          </w:p>
        </w:tc>
        <w:tc>
          <w:tcPr>
            <w:tcW w:w="5534" w:type="dxa"/>
          </w:tcPr>
          <w:p w14:paraId="4A79BE97" w14:textId="77777777" w:rsidR="006D596F" w:rsidRPr="003425BD" w:rsidRDefault="006D596F" w:rsidP="003D0EB0">
            <w:pPr>
              <w:spacing w:line="360" w:lineRule="auto"/>
              <w:jc w:val="both"/>
              <w:rPr>
                <w:rFonts w:ascii="Bookman Old Style" w:hAnsi="Bookman Old Style"/>
              </w:rPr>
            </w:pPr>
            <w:r w:rsidRPr="002B5EC7">
              <w:rPr>
                <w:rFonts w:ascii="Bookman Old Style" w:hAnsi="Bookman Old Style"/>
              </w:rPr>
              <w:t>The amendment may apply</w:t>
            </w:r>
            <w:r>
              <w:rPr>
                <w:rFonts w:ascii="Bookman Old Style" w:hAnsi="Bookman Old Style"/>
              </w:rPr>
              <w:t xml:space="preserve"> to such refund applications</w:t>
            </w:r>
            <w:r w:rsidRPr="002B5EC7">
              <w:rPr>
                <w:rFonts w:ascii="Bookman Old Style" w:hAnsi="Bookman Old Style"/>
              </w:rPr>
              <w:t>.</w:t>
            </w:r>
            <w:r>
              <w:rPr>
                <w:rFonts w:ascii="Bookman Old Style" w:hAnsi="Bookman Old Style"/>
              </w:rPr>
              <w:t xml:space="preserve"> The grounds for retrospective application of the formulae a</w:t>
            </w:r>
            <w:r w:rsidRPr="003425BD">
              <w:rPr>
                <w:rFonts w:ascii="Bookman Old Style" w:hAnsi="Bookman Old Style"/>
              </w:rPr>
              <w:t>re as discussed below.</w:t>
            </w:r>
          </w:p>
          <w:p w14:paraId="3B91851E" w14:textId="77777777" w:rsidR="006D596F" w:rsidRPr="002B5EC7" w:rsidRDefault="006D596F" w:rsidP="003D0EB0">
            <w:pPr>
              <w:spacing w:line="360" w:lineRule="auto"/>
              <w:jc w:val="both"/>
              <w:rPr>
                <w:rFonts w:ascii="Bookman Old Style" w:hAnsi="Bookman Old Style"/>
              </w:rPr>
            </w:pPr>
            <w:r w:rsidRPr="003425BD">
              <w:rPr>
                <w:rFonts w:ascii="Bookman Old Style" w:hAnsi="Bookman Old Style"/>
              </w:rPr>
              <w:t xml:space="preserve">It is also noteworthy that vide Notification No. 13/2022-CT, the Government has instructed to exclude the period from March 2020 to February 2022 </w:t>
            </w:r>
            <w:r>
              <w:rPr>
                <w:rFonts w:ascii="Bookman Old Style" w:hAnsi="Bookman Old Style"/>
              </w:rPr>
              <w:t>to claim</w:t>
            </w:r>
            <w:r w:rsidRPr="003425BD">
              <w:rPr>
                <w:rFonts w:ascii="Bookman Old Style" w:hAnsi="Bookman Old Style"/>
              </w:rPr>
              <w:t xml:space="preserve"> </w:t>
            </w:r>
            <w:r>
              <w:rPr>
                <w:rFonts w:ascii="Bookman Old Style" w:hAnsi="Bookman Old Style"/>
              </w:rPr>
              <w:t xml:space="preserve">the </w:t>
            </w:r>
            <w:r w:rsidRPr="003425BD">
              <w:rPr>
                <w:rFonts w:ascii="Bookman Old Style" w:hAnsi="Bookman Old Style"/>
              </w:rPr>
              <w:t>refund. Therefore, a benefit of this notification could also be availed to claim past refunds.</w:t>
            </w:r>
          </w:p>
        </w:tc>
      </w:tr>
    </w:tbl>
    <w:p w14:paraId="701E6A2E" w14:textId="77777777" w:rsidR="006D596F" w:rsidRDefault="006D596F" w:rsidP="006D596F">
      <w:pPr>
        <w:spacing w:after="0" w:line="360" w:lineRule="auto"/>
        <w:jc w:val="both"/>
        <w:rPr>
          <w:rFonts w:ascii="Bookman Old Style" w:hAnsi="Bookman Old Style"/>
        </w:rPr>
      </w:pPr>
    </w:p>
    <w:p w14:paraId="59DC4B0A" w14:textId="77777777" w:rsidR="006D596F" w:rsidRPr="006D596F" w:rsidRDefault="006D596F" w:rsidP="006D596F">
      <w:pPr>
        <w:spacing w:after="0" w:line="360" w:lineRule="auto"/>
        <w:jc w:val="both"/>
        <w:rPr>
          <w:rFonts w:ascii="Bookman Old Style" w:hAnsi="Bookman Old Style"/>
          <w:b/>
          <w:bCs/>
          <w:color w:val="4472C4" w:themeColor="accent1"/>
        </w:rPr>
      </w:pPr>
      <w:r w:rsidRPr="006D596F">
        <w:rPr>
          <w:rFonts w:ascii="Bookman Old Style" w:hAnsi="Bookman Old Style"/>
          <w:b/>
          <w:bCs/>
          <w:color w:val="4472C4" w:themeColor="accent1"/>
        </w:rPr>
        <w:t xml:space="preserve">Retrospective application of the formulae </w:t>
      </w:r>
    </w:p>
    <w:p w14:paraId="7337A0DC" w14:textId="77777777" w:rsidR="006D596F" w:rsidRPr="007C2B18" w:rsidRDefault="006D596F" w:rsidP="006D596F">
      <w:pPr>
        <w:spacing w:line="360" w:lineRule="auto"/>
        <w:jc w:val="both"/>
        <w:rPr>
          <w:rFonts w:ascii="Bookman Old Style" w:hAnsi="Bookman Old Style"/>
          <w:b/>
          <w:bCs/>
          <w:u w:val="single"/>
        </w:rPr>
      </w:pPr>
      <w:r w:rsidRPr="002B5EC7">
        <w:rPr>
          <w:rFonts w:ascii="Bookman Old Style" w:hAnsi="Bookman Old Style"/>
        </w:rPr>
        <w:t xml:space="preserve">It is apposite to note that </w:t>
      </w:r>
      <w:r>
        <w:rPr>
          <w:rFonts w:ascii="Bookman Old Style" w:hAnsi="Bookman Old Style"/>
        </w:rPr>
        <w:t>at the time of implementation of GST</w:t>
      </w:r>
      <w:r w:rsidRPr="002B5EC7">
        <w:rPr>
          <w:rFonts w:ascii="Bookman Old Style" w:hAnsi="Bookman Old Style"/>
        </w:rPr>
        <w:t xml:space="preserve">, </w:t>
      </w:r>
      <w:r>
        <w:rPr>
          <w:rFonts w:ascii="Bookman Old Style" w:hAnsi="Bookman Old Style"/>
        </w:rPr>
        <w:t xml:space="preserve">as per the formulae prescribed under Rule 89(5), </w:t>
      </w:r>
      <w:r w:rsidRPr="002B5EC7">
        <w:rPr>
          <w:rFonts w:ascii="Bookman Old Style" w:hAnsi="Bookman Old Style"/>
        </w:rPr>
        <w:t xml:space="preserve">the refund was eligible for </w:t>
      </w:r>
      <w:r>
        <w:rPr>
          <w:rFonts w:ascii="Bookman Old Style" w:hAnsi="Bookman Old Style"/>
        </w:rPr>
        <w:t xml:space="preserve">both viz. </w:t>
      </w:r>
      <w:r w:rsidRPr="002B5EC7">
        <w:rPr>
          <w:rFonts w:ascii="Bookman Old Style" w:hAnsi="Bookman Old Style"/>
        </w:rPr>
        <w:t xml:space="preserve">ITC </w:t>
      </w:r>
      <w:proofErr w:type="spellStart"/>
      <w:r w:rsidRPr="002B5EC7">
        <w:rPr>
          <w:rFonts w:ascii="Bookman Old Style" w:hAnsi="Bookman Old Style"/>
        </w:rPr>
        <w:t>w.r.t</w:t>
      </w:r>
      <w:proofErr w:type="spellEnd"/>
      <w:r w:rsidRPr="002B5EC7">
        <w:rPr>
          <w:rFonts w:ascii="Bookman Old Style" w:hAnsi="Bookman Old Style"/>
        </w:rPr>
        <w:t xml:space="preserve">. input goods and input services. Accordingly, the output tax was deductible </w:t>
      </w:r>
      <w:proofErr w:type="spellStart"/>
      <w:r w:rsidRPr="002B5EC7">
        <w:rPr>
          <w:rFonts w:ascii="Bookman Old Style" w:hAnsi="Bookman Old Style"/>
        </w:rPr>
        <w:t>w.r.t</w:t>
      </w:r>
      <w:proofErr w:type="spellEnd"/>
      <w:r w:rsidRPr="002B5EC7">
        <w:rPr>
          <w:rFonts w:ascii="Bookman Old Style" w:hAnsi="Bookman Old Style"/>
        </w:rPr>
        <w:t xml:space="preserve">. GST paid by utilization of ITC of input goods and ITC of input services. </w:t>
      </w:r>
      <w:r w:rsidRPr="007C2B18">
        <w:rPr>
          <w:rFonts w:ascii="Bookman Old Style" w:hAnsi="Bookman Old Style"/>
          <w:b/>
          <w:bCs/>
          <w:u w:val="single"/>
        </w:rPr>
        <w:t>Thus, there was a balance in refund amount vis a vis output tax deduction.</w:t>
      </w:r>
    </w:p>
    <w:p w14:paraId="38231D25" w14:textId="77777777" w:rsidR="006D596F" w:rsidRPr="007C2B18" w:rsidRDefault="006D596F" w:rsidP="006D596F">
      <w:pPr>
        <w:spacing w:line="360" w:lineRule="auto"/>
        <w:jc w:val="both"/>
        <w:rPr>
          <w:rFonts w:ascii="Bookman Old Style" w:hAnsi="Bookman Old Style"/>
          <w:b/>
          <w:bCs/>
          <w:u w:val="single"/>
        </w:rPr>
      </w:pPr>
      <w:r w:rsidRPr="002B5EC7">
        <w:rPr>
          <w:rFonts w:ascii="Bookman Old Style" w:hAnsi="Bookman Old Style"/>
        </w:rPr>
        <w:t xml:space="preserve">However, </w:t>
      </w:r>
      <w:r>
        <w:rPr>
          <w:rFonts w:ascii="Bookman Old Style" w:hAnsi="Bookman Old Style"/>
        </w:rPr>
        <w:t xml:space="preserve">vide Notification No. 21/2018-CT dated 18 April 2018, </w:t>
      </w:r>
      <w:r w:rsidRPr="002B5EC7">
        <w:rPr>
          <w:rFonts w:ascii="Bookman Old Style" w:hAnsi="Bookman Old Style"/>
        </w:rPr>
        <w:t xml:space="preserve">the definition of Net ITC was </w:t>
      </w:r>
      <w:r>
        <w:rPr>
          <w:rFonts w:ascii="Bookman Old Style" w:hAnsi="Bookman Old Style"/>
        </w:rPr>
        <w:t xml:space="preserve">amended retrospectively </w:t>
      </w:r>
      <w:r w:rsidRPr="002B5EC7">
        <w:rPr>
          <w:rFonts w:ascii="Bookman Old Style" w:hAnsi="Bookman Old Style"/>
        </w:rPr>
        <w:t xml:space="preserve">to include only ITC of input goods whereas the deduction of output tax was for tax paid through input goods and input services. </w:t>
      </w:r>
      <w:r w:rsidRPr="007C2B18">
        <w:rPr>
          <w:rFonts w:ascii="Bookman Old Style" w:hAnsi="Bookman Old Style"/>
          <w:b/>
          <w:bCs/>
          <w:u w:val="single"/>
        </w:rPr>
        <w:t>Thus, after the retrospective amendment, there was an anomaly created which created an imbalance in the favour of revenue.</w:t>
      </w:r>
    </w:p>
    <w:p w14:paraId="3621ECC8" w14:textId="77777777" w:rsidR="006D596F" w:rsidRPr="002B5EC7" w:rsidRDefault="006D596F" w:rsidP="006D596F">
      <w:pPr>
        <w:spacing w:line="360" w:lineRule="auto"/>
        <w:jc w:val="both"/>
        <w:rPr>
          <w:rFonts w:ascii="Bookman Old Style" w:hAnsi="Bookman Old Style"/>
        </w:rPr>
      </w:pPr>
      <w:r w:rsidRPr="002B5EC7">
        <w:rPr>
          <w:rFonts w:ascii="Bookman Old Style" w:hAnsi="Bookman Old Style"/>
        </w:rPr>
        <w:t xml:space="preserve">Accordingly, when looking from this angle, it could be construed that the instant change is done to restore the balance which existed before the </w:t>
      </w:r>
      <w:r>
        <w:rPr>
          <w:rFonts w:ascii="Bookman Old Style" w:hAnsi="Bookman Old Style"/>
        </w:rPr>
        <w:t xml:space="preserve">retrospective </w:t>
      </w:r>
      <w:r w:rsidRPr="002B5EC7">
        <w:rPr>
          <w:rFonts w:ascii="Bookman Old Style" w:hAnsi="Bookman Old Style"/>
        </w:rPr>
        <w:t xml:space="preserve">amendment in line with the Government’s consistent policy not to allow refund of unutilised credit of input services. </w:t>
      </w:r>
    </w:p>
    <w:p w14:paraId="4E85946A" w14:textId="77777777" w:rsidR="006D596F" w:rsidRPr="002B5EC7" w:rsidRDefault="006D596F" w:rsidP="006D596F">
      <w:pPr>
        <w:spacing w:line="360" w:lineRule="auto"/>
        <w:jc w:val="both"/>
        <w:rPr>
          <w:rFonts w:ascii="Bookman Old Style" w:hAnsi="Bookman Old Style"/>
          <w:b/>
          <w:bCs/>
        </w:rPr>
      </w:pPr>
      <w:r>
        <w:rPr>
          <w:rFonts w:ascii="Bookman Old Style" w:hAnsi="Bookman Old Style"/>
        </w:rPr>
        <w:t>In the light of the above, it is noteworthy that</w:t>
      </w:r>
      <w:r w:rsidRPr="002B5EC7">
        <w:rPr>
          <w:rFonts w:ascii="Bookman Old Style" w:hAnsi="Bookman Old Style"/>
        </w:rPr>
        <w:t xml:space="preserve"> amendments made to restore the position which existed before the creation of anomalies are clarificatory and have a retrospective effect. See </w:t>
      </w:r>
      <w:r w:rsidRPr="002B5EC7">
        <w:rPr>
          <w:rFonts w:ascii="Bookman Old Style" w:hAnsi="Bookman Old Style"/>
          <w:b/>
          <w:bCs/>
        </w:rPr>
        <w:t>WPIL Ltd vs CCE</w:t>
      </w:r>
      <w:r w:rsidRPr="002B5EC7">
        <w:rPr>
          <w:rStyle w:val="FootnoteReference"/>
          <w:rFonts w:ascii="Bookman Old Style" w:hAnsi="Bookman Old Style"/>
          <w:b/>
          <w:bCs/>
        </w:rPr>
        <w:footnoteReference w:id="4"/>
      </w:r>
      <w:r w:rsidRPr="002B5EC7">
        <w:rPr>
          <w:rFonts w:ascii="Bookman Old Style" w:hAnsi="Bookman Old Style"/>
          <w:b/>
          <w:bCs/>
        </w:rPr>
        <w:t>, Ralson (India) Ltd. Vs Commissioner</w:t>
      </w:r>
      <w:r w:rsidRPr="002B5EC7">
        <w:rPr>
          <w:rStyle w:val="FootnoteReference"/>
          <w:rFonts w:ascii="Bookman Old Style" w:hAnsi="Bookman Old Style"/>
          <w:b/>
          <w:bCs/>
        </w:rPr>
        <w:footnoteReference w:id="5"/>
      </w:r>
      <w:r w:rsidRPr="002B5EC7">
        <w:rPr>
          <w:rFonts w:ascii="Bookman Old Style" w:hAnsi="Bookman Old Style"/>
          <w:b/>
          <w:bCs/>
        </w:rPr>
        <w:t>.</w:t>
      </w:r>
    </w:p>
    <w:p w14:paraId="759B8597" w14:textId="77777777" w:rsidR="006D596F" w:rsidRPr="002B5EC7" w:rsidRDefault="006D596F" w:rsidP="006D596F">
      <w:pPr>
        <w:spacing w:line="360" w:lineRule="auto"/>
        <w:jc w:val="both"/>
        <w:rPr>
          <w:rFonts w:ascii="Bookman Old Style" w:hAnsi="Bookman Old Style"/>
        </w:rPr>
      </w:pPr>
      <w:r w:rsidRPr="002B5EC7">
        <w:rPr>
          <w:rFonts w:ascii="Bookman Old Style" w:hAnsi="Bookman Old Style"/>
        </w:rPr>
        <w:t xml:space="preserve">Applying the above legal principle in the instant case, it could be construed that the change in the formulae is nothing but a restoration of the balance that existed earlier with an intent to restrict the benefit of refund on input goods. Thus, the change would have a retrospective effect. Accordingly, the new formulae could be applicable for refund of credits accumulated in the past period. </w:t>
      </w:r>
    </w:p>
    <w:p w14:paraId="6A60DEF3" w14:textId="77777777" w:rsidR="006D596F" w:rsidRDefault="006D596F" w:rsidP="006D596F">
      <w:pPr>
        <w:spacing w:line="360" w:lineRule="auto"/>
        <w:jc w:val="both"/>
        <w:rPr>
          <w:rFonts w:ascii="Bookman Old Style" w:hAnsi="Bookman Old Style"/>
        </w:rPr>
      </w:pPr>
      <w:r w:rsidRPr="002B5EC7">
        <w:rPr>
          <w:rFonts w:ascii="Bookman Old Style" w:hAnsi="Bookman Old Style"/>
        </w:rPr>
        <w:t xml:space="preserve">Additionally, </w:t>
      </w:r>
      <w:r>
        <w:rPr>
          <w:rFonts w:ascii="Bookman Old Style" w:hAnsi="Bookman Old Style"/>
        </w:rPr>
        <w:t xml:space="preserve">it is apposite to note that </w:t>
      </w:r>
      <w:r w:rsidRPr="002B5EC7">
        <w:rPr>
          <w:rFonts w:ascii="Bookman Old Style" w:hAnsi="Bookman Old Style"/>
        </w:rPr>
        <w:t xml:space="preserve">as Rule 89(5) prescribes a method to calculate the amount of refund eligible under the inverted rate schema, it could be construed that the revised method would apply to all the refunds claimed after the amendment as the refund claims filed after the amendment would be governed by the procedure prescribed under Rule 89(5) as on the date of refund application. </w:t>
      </w:r>
    </w:p>
    <w:p w14:paraId="2155FC1A" w14:textId="77777777" w:rsidR="006D596F" w:rsidRPr="008337B0" w:rsidRDefault="006D596F" w:rsidP="006D596F">
      <w:pPr>
        <w:spacing w:line="360" w:lineRule="auto"/>
        <w:jc w:val="both"/>
        <w:rPr>
          <w:rFonts w:ascii="Bookman Old Style" w:hAnsi="Bookman Old Style"/>
          <w:b/>
          <w:bCs/>
        </w:rPr>
      </w:pPr>
      <w:r>
        <w:rPr>
          <w:rFonts w:ascii="Bookman Old Style" w:hAnsi="Bookman Old Style"/>
        </w:rPr>
        <w:t xml:space="preserve">Moreover, it is a settled legal principle that when the law intended to give benefit to the person then, the procedural amendments made in line with such intent would have retrospective application. See </w:t>
      </w:r>
      <w:proofErr w:type="spellStart"/>
      <w:r w:rsidRPr="008337B0">
        <w:rPr>
          <w:rFonts w:ascii="Bookman Old Style" w:hAnsi="Bookman Old Style"/>
          <w:b/>
          <w:bCs/>
        </w:rPr>
        <w:t>Vatika</w:t>
      </w:r>
      <w:proofErr w:type="spellEnd"/>
      <w:r w:rsidRPr="008337B0">
        <w:rPr>
          <w:rFonts w:ascii="Bookman Old Style" w:hAnsi="Bookman Old Style"/>
          <w:b/>
          <w:bCs/>
        </w:rPr>
        <w:t xml:space="preserve"> Township </w:t>
      </w:r>
      <w:proofErr w:type="spellStart"/>
      <w:r w:rsidRPr="008337B0">
        <w:rPr>
          <w:rFonts w:ascii="Bookman Old Style" w:hAnsi="Bookman Old Style"/>
          <w:b/>
          <w:bCs/>
        </w:rPr>
        <w:t>Pvt.</w:t>
      </w:r>
      <w:proofErr w:type="spellEnd"/>
      <w:r w:rsidRPr="008337B0">
        <w:rPr>
          <w:rFonts w:ascii="Bookman Old Style" w:hAnsi="Bookman Old Style"/>
          <w:b/>
          <w:bCs/>
        </w:rPr>
        <w:t xml:space="preserve"> Ltd.</w:t>
      </w:r>
      <w:r>
        <w:rPr>
          <w:rStyle w:val="FootnoteReference"/>
          <w:rFonts w:ascii="Bookman Old Style" w:hAnsi="Bookman Old Style"/>
          <w:b/>
          <w:bCs/>
        </w:rPr>
        <w:footnoteReference w:id="6"/>
      </w:r>
    </w:p>
    <w:p w14:paraId="7AB53387" w14:textId="77777777" w:rsidR="006D596F" w:rsidRDefault="006D596F" w:rsidP="006D596F">
      <w:pPr>
        <w:spacing w:after="0" w:line="360" w:lineRule="auto"/>
        <w:jc w:val="both"/>
        <w:rPr>
          <w:rFonts w:ascii="Bookman Old Style" w:hAnsi="Bookman Old Style"/>
        </w:rPr>
      </w:pPr>
      <w:r w:rsidRPr="002B5EC7">
        <w:rPr>
          <w:rFonts w:ascii="Bookman Old Style" w:hAnsi="Bookman Old Style"/>
        </w:rPr>
        <w:t xml:space="preserve">Based on the above discussion, </w:t>
      </w:r>
      <w:r>
        <w:rPr>
          <w:rFonts w:ascii="Bookman Old Style" w:hAnsi="Bookman Old Style"/>
        </w:rPr>
        <w:t>authors are of the</w:t>
      </w:r>
      <w:r w:rsidRPr="002B5EC7">
        <w:rPr>
          <w:rFonts w:ascii="Bookman Old Style" w:hAnsi="Bookman Old Style"/>
        </w:rPr>
        <w:t xml:space="preserve"> view that the amendment should have a retrospective application. </w:t>
      </w:r>
    </w:p>
    <w:p w14:paraId="1486CA31" w14:textId="77777777" w:rsidR="006D596F" w:rsidRPr="002C6A44" w:rsidRDefault="006D596F" w:rsidP="006D596F">
      <w:pPr>
        <w:spacing w:after="0" w:line="360" w:lineRule="auto"/>
        <w:jc w:val="both"/>
        <w:rPr>
          <w:rFonts w:ascii="Bookman Old Style" w:hAnsi="Bookman Old Style"/>
        </w:rPr>
      </w:pPr>
    </w:p>
    <w:p w14:paraId="12076EEE" w14:textId="16F5E4CE" w:rsidR="006D596F" w:rsidRPr="006D596F" w:rsidRDefault="006D596F" w:rsidP="006D596F">
      <w:pPr>
        <w:spacing w:after="0" w:line="360" w:lineRule="auto"/>
        <w:jc w:val="both"/>
        <w:rPr>
          <w:rFonts w:ascii="Bookman Old Style" w:hAnsi="Bookman Old Style"/>
          <w:b/>
          <w:bCs/>
          <w:color w:val="4472C4" w:themeColor="accent1"/>
        </w:rPr>
      </w:pPr>
      <w:r w:rsidRPr="006D596F">
        <w:rPr>
          <w:rFonts w:ascii="Bookman Old Style" w:hAnsi="Bookman Old Style"/>
          <w:b/>
          <w:bCs/>
          <w:color w:val="4472C4" w:themeColor="accent1"/>
        </w:rPr>
        <w:t xml:space="preserve">Impact of withdrawal of refund benefit for specified commodities </w:t>
      </w:r>
      <w:r>
        <w:rPr>
          <w:rFonts w:ascii="Bookman Old Style" w:hAnsi="Bookman Old Style"/>
          <w:b/>
          <w:bCs/>
          <w:color w:val="4472C4" w:themeColor="accent1"/>
        </w:rPr>
        <w:t>(edible oil and coal)</w:t>
      </w:r>
      <w:r w:rsidRPr="006D596F">
        <w:rPr>
          <w:rFonts w:ascii="Bookman Old Style" w:hAnsi="Bookman Old Style"/>
          <w:b/>
          <w:bCs/>
          <w:color w:val="4472C4" w:themeColor="accent1"/>
        </w:rPr>
        <w:t>– whether retrospective or prospective</w:t>
      </w:r>
    </w:p>
    <w:p w14:paraId="42374B9F" w14:textId="77777777" w:rsidR="006D596F" w:rsidRDefault="006D596F" w:rsidP="006D596F">
      <w:pPr>
        <w:spacing w:line="360" w:lineRule="auto"/>
        <w:jc w:val="both"/>
        <w:rPr>
          <w:rFonts w:ascii="Bookman Old Style" w:hAnsi="Bookman Old Style"/>
        </w:rPr>
      </w:pPr>
      <w:r>
        <w:rPr>
          <w:rFonts w:ascii="Bookman Old Style" w:hAnsi="Bookman Old Style"/>
        </w:rPr>
        <w:t>The Government, vide Notification No. 09/2022-Central Tax (Rate) dated 13 July 2022 has notified that refund of ITC accumulated owing to inverted rate structure would not be allowed for several commodities such as various types of oils, coals, lignite, peat etc. In this regard, the impact of the above change is as tabulated below;</w:t>
      </w:r>
    </w:p>
    <w:tbl>
      <w:tblPr>
        <w:tblStyle w:val="TableGrid"/>
        <w:tblW w:w="0" w:type="auto"/>
        <w:tblLook w:val="04A0" w:firstRow="1" w:lastRow="0" w:firstColumn="1" w:lastColumn="0" w:noHBand="0" w:noVBand="1"/>
      </w:tblPr>
      <w:tblGrid>
        <w:gridCol w:w="812"/>
        <w:gridCol w:w="4054"/>
        <w:gridCol w:w="4150"/>
      </w:tblGrid>
      <w:tr w:rsidR="006D596F" w14:paraId="088803AE" w14:textId="77777777" w:rsidTr="003D0EB0">
        <w:tc>
          <w:tcPr>
            <w:tcW w:w="828" w:type="dxa"/>
          </w:tcPr>
          <w:p w14:paraId="5E5CDE37" w14:textId="77777777" w:rsidR="006D596F" w:rsidRPr="002C6A44" w:rsidRDefault="006D596F" w:rsidP="003D0EB0">
            <w:pPr>
              <w:spacing w:line="360" w:lineRule="auto"/>
              <w:jc w:val="both"/>
              <w:rPr>
                <w:rFonts w:ascii="Bookman Old Style" w:hAnsi="Bookman Old Style"/>
                <w:b/>
                <w:bCs/>
              </w:rPr>
            </w:pPr>
            <w:r w:rsidRPr="002C6A44">
              <w:rPr>
                <w:rFonts w:ascii="Bookman Old Style" w:hAnsi="Bookman Old Style"/>
                <w:b/>
                <w:bCs/>
              </w:rPr>
              <w:t>S.N.</w:t>
            </w:r>
          </w:p>
        </w:tc>
        <w:tc>
          <w:tcPr>
            <w:tcW w:w="4320" w:type="dxa"/>
          </w:tcPr>
          <w:p w14:paraId="2BC5BA73" w14:textId="77777777" w:rsidR="006D596F" w:rsidRPr="002C6A44" w:rsidRDefault="006D596F" w:rsidP="003D0EB0">
            <w:pPr>
              <w:spacing w:line="360" w:lineRule="auto"/>
              <w:jc w:val="both"/>
              <w:rPr>
                <w:rFonts w:ascii="Bookman Old Style" w:hAnsi="Bookman Old Style"/>
                <w:b/>
                <w:bCs/>
              </w:rPr>
            </w:pPr>
            <w:r>
              <w:rPr>
                <w:rFonts w:ascii="Bookman Old Style" w:hAnsi="Bookman Old Style"/>
                <w:b/>
                <w:bCs/>
              </w:rPr>
              <w:t>Scenario</w:t>
            </w:r>
          </w:p>
        </w:tc>
        <w:tc>
          <w:tcPr>
            <w:tcW w:w="4428" w:type="dxa"/>
          </w:tcPr>
          <w:p w14:paraId="5B8E98C7" w14:textId="77777777" w:rsidR="006D596F" w:rsidRPr="002C6A44" w:rsidRDefault="006D596F" w:rsidP="003D0EB0">
            <w:pPr>
              <w:spacing w:line="360" w:lineRule="auto"/>
              <w:jc w:val="both"/>
              <w:rPr>
                <w:rFonts w:ascii="Bookman Old Style" w:hAnsi="Bookman Old Style"/>
                <w:b/>
                <w:bCs/>
              </w:rPr>
            </w:pPr>
            <w:r>
              <w:rPr>
                <w:rFonts w:ascii="Bookman Old Style" w:hAnsi="Bookman Old Style"/>
                <w:b/>
                <w:bCs/>
              </w:rPr>
              <w:t>Whether a refund would be eligible?</w:t>
            </w:r>
          </w:p>
        </w:tc>
      </w:tr>
      <w:tr w:rsidR="006D596F" w14:paraId="6FD16ACD" w14:textId="77777777" w:rsidTr="003D0EB0">
        <w:tc>
          <w:tcPr>
            <w:tcW w:w="828" w:type="dxa"/>
          </w:tcPr>
          <w:p w14:paraId="6501E793" w14:textId="77777777" w:rsidR="006D596F" w:rsidRDefault="006D596F" w:rsidP="003D0EB0">
            <w:pPr>
              <w:spacing w:line="360" w:lineRule="auto"/>
              <w:jc w:val="both"/>
              <w:rPr>
                <w:rFonts w:ascii="Bookman Old Style" w:hAnsi="Bookman Old Style"/>
              </w:rPr>
            </w:pPr>
            <w:r>
              <w:rPr>
                <w:rFonts w:ascii="Bookman Old Style" w:hAnsi="Bookman Old Style"/>
              </w:rPr>
              <w:t>1</w:t>
            </w:r>
          </w:p>
        </w:tc>
        <w:tc>
          <w:tcPr>
            <w:tcW w:w="4320" w:type="dxa"/>
          </w:tcPr>
          <w:p w14:paraId="151DE98B" w14:textId="77777777" w:rsidR="006D596F" w:rsidRDefault="006D596F" w:rsidP="003D0EB0">
            <w:pPr>
              <w:spacing w:line="360" w:lineRule="auto"/>
              <w:jc w:val="both"/>
              <w:rPr>
                <w:rFonts w:ascii="Bookman Old Style" w:hAnsi="Bookman Old Style"/>
              </w:rPr>
            </w:pPr>
            <w:r>
              <w:rPr>
                <w:rFonts w:ascii="Bookman Old Style" w:hAnsi="Bookman Old Style"/>
              </w:rPr>
              <w:t>Refund applications have already been filed and refund yet to be received</w:t>
            </w:r>
          </w:p>
        </w:tc>
        <w:tc>
          <w:tcPr>
            <w:tcW w:w="4428" w:type="dxa"/>
          </w:tcPr>
          <w:p w14:paraId="379525A1" w14:textId="77777777" w:rsidR="006D596F" w:rsidRDefault="006D596F" w:rsidP="003D0EB0">
            <w:pPr>
              <w:spacing w:line="360" w:lineRule="auto"/>
              <w:jc w:val="both"/>
              <w:rPr>
                <w:rFonts w:ascii="Bookman Old Style" w:hAnsi="Bookman Old Style"/>
              </w:rPr>
            </w:pPr>
            <w:r>
              <w:rPr>
                <w:rFonts w:ascii="Bookman Old Style" w:hAnsi="Bookman Old Style"/>
              </w:rPr>
              <w:t>Yes, the amendment would not apply to such refund applications.</w:t>
            </w:r>
          </w:p>
        </w:tc>
      </w:tr>
      <w:tr w:rsidR="006D596F" w14:paraId="60DC40BB" w14:textId="77777777" w:rsidTr="003D0EB0">
        <w:tc>
          <w:tcPr>
            <w:tcW w:w="828" w:type="dxa"/>
          </w:tcPr>
          <w:p w14:paraId="4FFB2818" w14:textId="77777777" w:rsidR="006D596F" w:rsidRDefault="006D596F" w:rsidP="003D0EB0">
            <w:pPr>
              <w:spacing w:line="360" w:lineRule="auto"/>
              <w:jc w:val="both"/>
              <w:rPr>
                <w:rFonts w:ascii="Bookman Old Style" w:hAnsi="Bookman Old Style"/>
              </w:rPr>
            </w:pPr>
            <w:r>
              <w:rPr>
                <w:rFonts w:ascii="Bookman Old Style" w:hAnsi="Bookman Old Style"/>
              </w:rPr>
              <w:t>2</w:t>
            </w:r>
          </w:p>
        </w:tc>
        <w:tc>
          <w:tcPr>
            <w:tcW w:w="4320" w:type="dxa"/>
          </w:tcPr>
          <w:p w14:paraId="713DF0AA" w14:textId="77777777" w:rsidR="006D596F" w:rsidRDefault="006D596F" w:rsidP="003D0EB0">
            <w:pPr>
              <w:spacing w:line="360" w:lineRule="auto"/>
              <w:jc w:val="both"/>
              <w:rPr>
                <w:rFonts w:ascii="Bookman Old Style" w:hAnsi="Bookman Old Style"/>
              </w:rPr>
            </w:pPr>
            <w:r>
              <w:rPr>
                <w:rFonts w:ascii="Bookman Old Style" w:hAnsi="Bookman Old Style"/>
              </w:rPr>
              <w:t xml:space="preserve">Refund applications have already been filed and refund is in litigation </w:t>
            </w:r>
          </w:p>
        </w:tc>
        <w:tc>
          <w:tcPr>
            <w:tcW w:w="4428" w:type="dxa"/>
          </w:tcPr>
          <w:p w14:paraId="7046A2B1" w14:textId="77777777" w:rsidR="006D596F" w:rsidRDefault="006D596F" w:rsidP="003D0EB0">
            <w:pPr>
              <w:spacing w:line="360" w:lineRule="auto"/>
              <w:jc w:val="both"/>
              <w:rPr>
                <w:rFonts w:ascii="Bookman Old Style" w:hAnsi="Bookman Old Style"/>
              </w:rPr>
            </w:pPr>
            <w:r>
              <w:rPr>
                <w:rFonts w:ascii="Bookman Old Style" w:hAnsi="Bookman Old Style"/>
              </w:rPr>
              <w:t>Yes, the amendment would not apply to such refund applications.</w:t>
            </w:r>
          </w:p>
        </w:tc>
      </w:tr>
      <w:tr w:rsidR="006D596F" w14:paraId="50A05A94" w14:textId="77777777" w:rsidTr="003D0EB0">
        <w:tc>
          <w:tcPr>
            <w:tcW w:w="828" w:type="dxa"/>
          </w:tcPr>
          <w:p w14:paraId="7CAC3D71" w14:textId="77777777" w:rsidR="006D596F" w:rsidRDefault="006D596F" w:rsidP="003D0EB0">
            <w:pPr>
              <w:spacing w:line="360" w:lineRule="auto"/>
              <w:jc w:val="both"/>
              <w:rPr>
                <w:rFonts w:ascii="Bookman Old Style" w:hAnsi="Bookman Old Style"/>
              </w:rPr>
            </w:pPr>
            <w:r>
              <w:rPr>
                <w:rFonts w:ascii="Bookman Old Style" w:hAnsi="Bookman Old Style"/>
              </w:rPr>
              <w:t>3</w:t>
            </w:r>
          </w:p>
        </w:tc>
        <w:tc>
          <w:tcPr>
            <w:tcW w:w="4320" w:type="dxa"/>
          </w:tcPr>
          <w:p w14:paraId="76BE0D63" w14:textId="77777777" w:rsidR="006D596F" w:rsidRDefault="006D596F" w:rsidP="003D0EB0">
            <w:pPr>
              <w:spacing w:line="360" w:lineRule="auto"/>
              <w:jc w:val="both"/>
              <w:rPr>
                <w:rFonts w:ascii="Bookman Old Style" w:hAnsi="Bookman Old Style"/>
              </w:rPr>
            </w:pPr>
            <w:r>
              <w:rPr>
                <w:rFonts w:ascii="Bookman Old Style" w:hAnsi="Bookman Old Style"/>
              </w:rPr>
              <w:t xml:space="preserve">Refund application for refunds pertaining to ITC accumulated before the issuance of the notification has not been filed yet </w:t>
            </w:r>
          </w:p>
        </w:tc>
        <w:tc>
          <w:tcPr>
            <w:tcW w:w="4428" w:type="dxa"/>
          </w:tcPr>
          <w:p w14:paraId="74147A2F" w14:textId="77777777" w:rsidR="006D596F" w:rsidRPr="002C6A44" w:rsidRDefault="006D596F" w:rsidP="003D0EB0">
            <w:pPr>
              <w:spacing w:line="360" w:lineRule="auto"/>
              <w:jc w:val="both"/>
              <w:rPr>
                <w:rFonts w:ascii="Bookman Old Style" w:hAnsi="Bookman Old Style"/>
              </w:rPr>
            </w:pPr>
            <w:r>
              <w:rPr>
                <w:rFonts w:ascii="Bookman Old Style" w:hAnsi="Bookman Old Style"/>
              </w:rPr>
              <w:t>Yes, b</w:t>
            </w:r>
            <w:r w:rsidRPr="002B5EC7">
              <w:rPr>
                <w:rFonts w:ascii="Bookman Old Style" w:hAnsi="Bookman Old Style"/>
              </w:rPr>
              <w:t xml:space="preserve">ecause changes which are oppressive to taxpayers cannot be interpreted to have a retrospective effect. See </w:t>
            </w:r>
            <w:r w:rsidRPr="002B5EC7">
              <w:rPr>
                <w:rFonts w:ascii="Bookman Old Style" w:hAnsi="Bookman Old Style"/>
                <w:b/>
                <w:bCs/>
              </w:rPr>
              <w:t xml:space="preserve">Ashish </w:t>
            </w:r>
            <w:proofErr w:type="spellStart"/>
            <w:r w:rsidRPr="002B5EC7">
              <w:rPr>
                <w:rFonts w:ascii="Bookman Old Style" w:hAnsi="Bookman Old Style"/>
                <w:b/>
                <w:bCs/>
              </w:rPr>
              <w:t>Katiyar</w:t>
            </w:r>
            <w:proofErr w:type="spellEnd"/>
            <w:r w:rsidRPr="002B5EC7">
              <w:rPr>
                <w:rStyle w:val="FootnoteReference"/>
                <w:rFonts w:ascii="Bookman Old Style" w:hAnsi="Bookman Old Style"/>
                <w:b/>
                <w:bCs/>
              </w:rPr>
              <w:footnoteReference w:id="7"/>
            </w:r>
            <w:r w:rsidRPr="002B5EC7">
              <w:rPr>
                <w:rFonts w:ascii="Bookman Old Style" w:hAnsi="Bookman Old Style"/>
                <w:b/>
                <w:bCs/>
              </w:rPr>
              <w:t xml:space="preserve"> </w:t>
            </w:r>
            <w:r w:rsidRPr="002B5EC7">
              <w:rPr>
                <w:rFonts w:ascii="Bookman Old Style" w:hAnsi="Bookman Old Style"/>
              </w:rPr>
              <w:t xml:space="preserve">and </w:t>
            </w:r>
            <w:proofErr w:type="spellStart"/>
            <w:r w:rsidRPr="002B5EC7">
              <w:rPr>
                <w:rFonts w:ascii="Bookman Old Style" w:hAnsi="Bookman Old Style"/>
                <w:b/>
                <w:bCs/>
              </w:rPr>
              <w:t>Shabnam</w:t>
            </w:r>
            <w:proofErr w:type="spellEnd"/>
            <w:r w:rsidRPr="002B5EC7">
              <w:rPr>
                <w:rFonts w:ascii="Bookman Old Style" w:hAnsi="Bookman Old Style"/>
                <w:b/>
                <w:bCs/>
              </w:rPr>
              <w:t xml:space="preserve"> </w:t>
            </w:r>
            <w:proofErr w:type="spellStart"/>
            <w:r w:rsidRPr="002B5EC7">
              <w:rPr>
                <w:rFonts w:ascii="Bookman Old Style" w:hAnsi="Bookman Old Style"/>
                <w:b/>
                <w:bCs/>
              </w:rPr>
              <w:t>Petrofils</w:t>
            </w:r>
            <w:proofErr w:type="spellEnd"/>
            <w:r w:rsidRPr="002B5EC7">
              <w:rPr>
                <w:rStyle w:val="FootnoteReference"/>
                <w:rFonts w:ascii="Bookman Old Style" w:hAnsi="Bookman Old Style"/>
                <w:b/>
                <w:bCs/>
              </w:rPr>
              <w:footnoteReference w:id="8"/>
            </w:r>
            <w:r w:rsidRPr="002B5EC7">
              <w:rPr>
                <w:rFonts w:ascii="Bookman Old Style" w:hAnsi="Bookman Old Style" w:cs="Times New Roman"/>
              </w:rPr>
              <w:t xml:space="preserve"> </w:t>
            </w:r>
          </w:p>
        </w:tc>
      </w:tr>
      <w:tr w:rsidR="006D596F" w14:paraId="01D60D97" w14:textId="77777777" w:rsidTr="003D0EB0">
        <w:tc>
          <w:tcPr>
            <w:tcW w:w="828" w:type="dxa"/>
          </w:tcPr>
          <w:p w14:paraId="32BFC332" w14:textId="77777777" w:rsidR="006D596F" w:rsidRDefault="006D596F" w:rsidP="003D0EB0">
            <w:pPr>
              <w:spacing w:line="360" w:lineRule="auto"/>
              <w:jc w:val="both"/>
              <w:rPr>
                <w:rFonts w:ascii="Bookman Old Style" w:hAnsi="Bookman Old Style"/>
              </w:rPr>
            </w:pPr>
            <w:r>
              <w:rPr>
                <w:rFonts w:ascii="Bookman Old Style" w:hAnsi="Bookman Old Style"/>
              </w:rPr>
              <w:t>4</w:t>
            </w:r>
          </w:p>
        </w:tc>
        <w:tc>
          <w:tcPr>
            <w:tcW w:w="4320" w:type="dxa"/>
          </w:tcPr>
          <w:p w14:paraId="01B0306E" w14:textId="77777777" w:rsidR="006D596F" w:rsidRDefault="006D596F" w:rsidP="003D0EB0">
            <w:pPr>
              <w:spacing w:line="360" w:lineRule="auto"/>
              <w:jc w:val="both"/>
              <w:rPr>
                <w:rFonts w:ascii="Bookman Old Style" w:hAnsi="Bookman Old Style"/>
              </w:rPr>
            </w:pPr>
            <w:r>
              <w:rPr>
                <w:rFonts w:ascii="Bookman Old Style" w:hAnsi="Bookman Old Style"/>
              </w:rPr>
              <w:t xml:space="preserve">Refund applications for refunds pertaining to ITC accumulated after the issuance of the notification </w:t>
            </w:r>
          </w:p>
        </w:tc>
        <w:tc>
          <w:tcPr>
            <w:tcW w:w="4428" w:type="dxa"/>
          </w:tcPr>
          <w:p w14:paraId="5F3EA894" w14:textId="77777777" w:rsidR="006D596F" w:rsidRDefault="006D596F" w:rsidP="003D0EB0">
            <w:pPr>
              <w:spacing w:line="360" w:lineRule="auto"/>
              <w:jc w:val="both"/>
              <w:rPr>
                <w:rFonts w:ascii="Bookman Old Style" w:hAnsi="Bookman Old Style"/>
              </w:rPr>
            </w:pPr>
            <w:r>
              <w:rPr>
                <w:rFonts w:ascii="Bookman Old Style" w:hAnsi="Bookman Old Style"/>
              </w:rPr>
              <w:t xml:space="preserve">The amendment would be applicable and the refund would not be eligible. </w:t>
            </w:r>
          </w:p>
        </w:tc>
      </w:tr>
    </w:tbl>
    <w:p w14:paraId="0BD3F97B" w14:textId="77777777" w:rsidR="006D596F" w:rsidRPr="002C6A44" w:rsidRDefault="006D596F" w:rsidP="006D596F">
      <w:pPr>
        <w:spacing w:after="0" w:line="360" w:lineRule="auto"/>
        <w:jc w:val="both"/>
        <w:rPr>
          <w:rFonts w:ascii="Bookman Old Style" w:hAnsi="Bookman Old Style"/>
        </w:rPr>
      </w:pPr>
    </w:p>
    <w:p w14:paraId="5E1689D3" w14:textId="77777777" w:rsidR="006D596F" w:rsidRPr="006D596F" w:rsidRDefault="006D596F" w:rsidP="006D596F">
      <w:pPr>
        <w:spacing w:after="0" w:line="360" w:lineRule="auto"/>
        <w:jc w:val="both"/>
        <w:rPr>
          <w:rFonts w:ascii="Bookman Old Style" w:hAnsi="Bookman Old Style"/>
          <w:b/>
          <w:bCs/>
          <w:color w:val="4472C4" w:themeColor="accent1"/>
        </w:rPr>
      </w:pPr>
      <w:r w:rsidRPr="006D596F">
        <w:rPr>
          <w:rFonts w:ascii="Bookman Old Style" w:hAnsi="Bookman Old Style"/>
          <w:b/>
          <w:bCs/>
          <w:color w:val="4472C4" w:themeColor="accent1"/>
        </w:rPr>
        <w:t>Plan of action by business</w:t>
      </w:r>
    </w:p>
    <w:p w14:paraId="21B23F95" w14:textId="77777777" w:rsidR="006D596F" w:rsidRDefault="006D596F" w:rsidP="006D596F">
      <w:pPr>
        <w:spacing w:after="0" w:line="360" w:lineRule="auto"/>
        <w:jc w:val="both"/>
        <w:rPr>
          <w:rFonts w:ascii="Bookman Old Style" w:hAnsi="Bookman Old Style"/>
        </w:rPr>
      </w:pPr>
      <w:r>
        <w:rPr>
          <w:rFonts w:ascii="Bookman Old Style" w:hAnsi="Bookman Old Style"/>
        </w:rPr>
        <w:t>In light of the above, the business working in industries wherein there is an inverted rate structure such as textile, solar, FMCG and pharmaceutical sector, whose inputs are taxable at a higher rate than, the output supplies should do the following;</w:t>
      </w:r>
    </w:p>
    <w:p w14:paraId="4E3DFCD0" w14:textId="77777777" w:rsidR="006D596F" w:rsidRDefault="006D596F" w:rsidP="006D596F">
      <w:pPr>
        <w:pStyle w:val="ListParagraph"/>
        <w:numPr>
          <w:ilvl w:val="0"/>
          <w:numId w:val="19"/>
        </w:numPr>
        <w:spacing w:after="0" w:line="360" w:lineRule="auto"/>
        <w:ind w:left="360"/>
        <w:jc w:val="both"/>
        <w:rPr>
          <w:rFonts w:ascii="Bookman Old Style" w:hAnsi="Bookman Old Style"/>
        </w:rPr>
      </w:pPr>
      <w:r>
        <w:rPr>
          <w:rFonts w:ascii="Bookman Old Style" w:hAnsi="Bookman Old Style"/>
        </w:rPr>
        <w:t>Make a list of refund applications already filed;</w:t>
      </w:r>
    </w:p>
    <w:p w14:paraId="3B188E8E" w14:textId="77777777" w:rsidR="006D596F" w:rsidRDefault="006D596F" w:rsidP="006D596F">
      <w:pPr>
        <w:pStyle w:val="ListParagraph"/>
        <w:numPr>
          <w:ilvl w:val="0"/>
          <w:numId w:val="19"/>
        </w:numPr>
        <w:spacing w:after="0" w:line="360" w:lineRule="auto"/>
        <w:ind w:left="360"/>
        <w:jc w:val="both"/>
        <w:rPr>
          <w:rFonts w:ascii="Bookman Old Style" w:hAnsi="Bookman Old Style"/>
        </w:rPr>
      </w:pPr>
      <w:r>
        <w:rPr>
          <w:rFonts w:ascii="Bookman Old Style" w:hAnsi="Bookman Old Style"/>
        </w:rPr>
        <w:t>If the refund applications are in litigation then, make additional submissions for claiming the benefit;</w:t>
      </w:r>
    </w:p>
    <w:p w14:paraId="3821B301" w14:textId="77777777" w:rsidR="006D596F" w:rsidRDefault="006D596F" w:rsidP="006D596F">
      <w:pPr>
        <w:pStyle w:val="ListParagraph"/>
        <w:numPr>
          <w:ilvl w:val="0"/>
          <w:numId w:val="19"/>
        </w:numPr>
        <w:spacing w:after="0" w:line="360" w:lineRule="auto"/>
        <w:ind w:left="360"/>
        <w:jc w:val="both"/>
        <w:rPr>
          <w:rFonts w:ascii="Bookman Old Style" w:hAnsi="Bookman Old Style"/>
        </w:rPr>
      </w:pPr>
      <w:r>
        <w:rPr>
          <w:rFonts w:ascii="Bookman Old Style" w:hAnsi="Bookman Old Style"/>
        </w:rPr>
        <w:t>If the refund applications are not yet filed then, file the same as per the changed formulae as soon as possible in view of the amended time limit;</w:t>
      </w:r>
    </w:p>
    <w:p w14:paraId="7FDD09E5" w14:textId="77777777" w:rsidR="006D596F" w:rsidRPr="00FC72E7" w:rsidRDefault="006D596F" w:rsidP="006D596F">
      <w:pPr>
        <w:pStyle w:val="ListParagraph"/>
        <w:numPr>
          <w:ilvl w:val="0"/>
          <w:numId w:val="19"/>
        </w:numPr>
        <w:spacing w:after="0" w:line="360" w:lineRule="auto"/>
        <w:ind w:left="360"/>
        <w:jc w:val="both"/>
        <w:rPr>
          <w:rFonts w:ascii="Bookman Old Style" w:hAnsi="Bookman Old Style"/>
        </w:rPr>
      </w:pPr>
      <w:r>
        <w:rPr>
          <w:rFonts w:ascii="Bookman Old Style" w:hAnsi="Bookman Old Style"/>
        </w:rPr>
        <w:t xml:space="preserve">For the future, the businesses may evaluate permutations and combinations as to what should be the optimum period for filing of refund that would allow them to have the maximum refund benefit in their business as per the amended formulae; and </w:t>
      </w:r>
    </w:p>
    <w:p w14:paraId="5DD1A2E8" w14:textId="77777777" w:rsidR="006D596F" w:rsidRDefault="006D596F" w:rsidP="006D596F">
      <w:pPr>
        <w:pStyle w:val="ListParagraph"/>
        <w:numPr>
          <w:ilvl w:val="0"/>
          <w:numId w:val="19"/>
        </w:numPr>
        <w:spacing w:after="0" w:line="360" w:lineRule="auto"/>
        <w:ind w:left="360"/>
        <w:jc w:val="both"/>
        <w:rPr>
          <w:rFonts w:ascii="Bookman Old Style" w:hAnsi="Bookman Old Style"/>
        </w:rPr>
      </w:pPr>
      <w:r>
        <w:rPr>
          <w:rFonts w:ascii="Bookman Old Style" w:hAnsi="Bookman Old Style"/>
        </w:rPr>
        <w:t>For suppliers dealing in oil and coal, file all the refund applications pertaining to the previous period as soon as possible with the amended formulae and claim the benefit.</w:t>
      </w:r>
    </w:p>
    <w:p w14:paraId="4E637CEA" w14:textId="77777777" w:rsidR="006D596F" w:rsidRDefault="006D596F" w:rsidP="006D596F">
      <w:pPr>
        <w:pStyle w:val="ListParagraph"/>
        <w:spacing w:after="0" w:line="360" w:lineRule="auto"/>
        <w:ind w:left="360"/>
        <w:jc w:val="both"/>
        <w:rPr>
          <w:rFonts w:ascii="Bookman Old Style" w:hAnsi="Bookman Old Style"/>
        </w:rPr>
      </w:pPr>
    </w:p>
    <w:p w14:paraId="59BC06A8" w14:textId="77777777" w:rsidR="006D596F" w:rsidRPr="006D596F" w:rsidRDefault="006D596F" w:rsidP="006D596F">
      <w:pPr>
        <w:spacing w:after="0" w:line="360" w:lineRule="auto"/>
        <w:jc w:val="both"/>
        <w:rPr>
          <w:rFonts w:ascii="Bookman Old Style" w:hAnsi="Bookman Old Style"/>
          <w:b/>
          <w:bCs/>
          <w:color w:val="4472C4" w:themeColor="accent1"/>
        </w:rPr>
      </w:pPr>
      <w:r w:rsidRPr="006D596F">
        <w:rPr>
          <w:rFonts w:ascii="Bookman Old Style" w:hAnsi="Bookman Old Style"/>
          <w:b/>
          <w:bCs/>
          <w:color w:val="4472C4" w:themeColor="accent1"/>
        </w:rPr>
        <w:t>Conclusion:</w:t>
      </w:r>
    </w:p>
    <w:p w14:paraId="1D583938" w14:textId="77777777" w:rsidR="006D596F" w:rsidRPr="001D6642" w:rsidRDefault="006D596F" w:rsidP="006D596F">
      <w:pPr>
        <w:spacing w:after="0" w:line="360" w:lineRule="auto"/>
        <w:jc w:val="both"/>
        <w:rPr>
          <w:rFonts w:ascii="Bookman Old Style" w:hAnsi="Bookman Old Style"/>
        </w:rPr>
      </w:pPr>
      <w:r w:rsidRPr="001D6642">
        <w:rPr>
          <w:rFonts w:ascii="Bookman Old Style" w:hAnsi="Bookman Old Style"/>
        </w:rPr>
        <w:t>The amendment has been positive step by the Council t</w:t>
      </w:r>
      <w:r>
        <w:rPr>
          <w:rFonts w:ascii="Bookman Old Style" w:hAnsi="Bookman Old Style"/>
        </w:rPr>
        <w:t>o consider the impact of ITC accumulation on account of services. It is now relevant for all taxpayers stuck with accumulated ITC under inverted structure if the amended provision could be of help to them for filing refund claim and take requisite actions at the earliest to ensure that the benefit is availed.</w:t>
      </w:r>
    </w:p>
    <w:p w14:paraId="12E6B367" w14:textId="753F4A56" w:rsidR="009F475F" w:rsidRDefault="009F475F" w:rsidP="006D596F">
      <w:pPr>
        <w:spacing w:after="0" w:line="276" w:lineRule="auto"/>
        <w:jc w:val="both"/>
        <w:rPr>
          <w:rFonts w:ascii="Book Antiqua" w:hAnsi="Book Antiqua"/>
          <w:b/>
          <w:bCs/>
        </w:rPr>
      </w:pPr>
    </w:p>
    <w:p w14:paraId="1813ADEB" w14:textId="61079897" w:rsidR="0071216A" w:rsidRPr="0071216A" w:rsidRDefault="0071216A" w:rsidP="006D596F">
      <w:pPr>
        <w:spacing w:after="0" w:line="276" w:lineRule="auto"/>
        <w:jc w:val="both"/>
        <w:rPr>
          <w:rFonts w:ascii="Bookman Old Style" w:hAnsi="Bookman Old Style"/>
          <w:i/>
          <w:iCs/>
        </w:rPr>
      </w:pPr>
      <w:r w:rsidRPr="0071216A">
        <w:rPr>
          <w:rFonts w:ascii="Bookman Old Style" w:hAnsi="Bookman Old Style"/>
          <w:i/>
          <w:iCs/>
        </w:rPr>
        <w:t xml:space="preserve">(Views expressed are personal views of the authors. Your comments or feedback welcomed at </w:t>
      </w:r>
      <w:hyperlink r:id="rId10" w:history="1">
        <w:r w:rsidRPr="0071216A">
          <w:rPr>
            <w:rStyle w:val="Hyperlink"/>
            <w:rFonts w:ascii="Bookman Old Style" w:hAnsi="Bookman Old Style"/>
            <w:i/>
            <w:iCs/>
          </w:rPr>
          <w:t>ashish@hiregange.com</w:t>
        </w:r>
      </w:hyperlink>
      <w:r w:rsidRPr="0071216A">
        <w:rPr>
          <w:rFonts w:ascii="Bookman Old Style" w:hAnsi="Bookman Old Style"/>
          <w:i/>
          <w:iCs/>
        </w:rPr>
        <w:t xml:space="preserve"> or </w:t>
      </w:r>
      <w:hyperlink r:id="rId11" w:history="1">
        <w:r w:rsidRPr="0071216A">
          <w:rPr>
            <w:rStyle w:val="Hyperlink"/>
            <w:rFonts w:ascii="Bookman Old Style" w:hAnsi="Bookman Old Style"/>
            <w:i/>
            <w:iCs/>
          </w:rPr>
          <w:t>poojajajwani@hiregange.com</w:t>
        </w:r>
      </w:hyperlink>
      <w:r w:rsidRPr="0071216A">
        <w:rPr>
          <w:rFonts w:ascii="Bookman Old Style" w:hAnsi="Bookman Old Style"/>
          <w:i/>
          <w:iCs/>
        </w:rPr>
        <w:t xml:space="preserve">) </w:t>
      </w:r>
    </w:p>
    <w:sectPr w:rsidR="0071216A" w:rsidRPr="0071216A" w:rsidSect="00844999">
      <w:headerReference w:type="default" r:id="rId12"/>
      <w:footerReference w:type="default" r:id="rId13"/>
      <w:headerReference w:type="first" r:id="rId14"/>
      <w:footerReference w:type="first" r:id="rId15"/>
      <w:pgSz w:w="11906" w:h="16838"/>
      <w:pgMar w:top="1440" w:right="1440" w:bottom="1440" w:left="1440" w:header="283"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7E35" w14:textId="77777777" w:rsidR="00CF0631" w:rsidRDefault="00CF0631" w:rsidP="005355F2">
      <w:pPr>
        <w:spacing w:after="0" w:line="240" w:lineRule="auto"/>
      </w:pPr>
      <w:r>
        <w:separator/>
      </w:r>
    </w:p>
  </w:endnote>
  <w:endnote w:type="continuationSeparator" w:id="0">
    <w:p w14:paraId="03EA857A" w14:textId="77777777" w:rsidR="00CF0631" w:rsidRDefault="00CF0631" w:rsidP="0053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IDFont+F4">
    <w:altName w:val="Cambria"/>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i/>
        <w:iCs/>
        <w:sz w:val="24"/>
        <w:szCs w:val="24"/>
      </w:rPr>
      <w:id w:val="-1243418279"/>
      <w:docPartObj>
        <w:docPartGallery w:val="Page Numbers (Bottom of Page)"/>
        <w:docPartUnique/>
      </w:docPartObj>
    </w:sdtPr>
    <w:sdtEndPr>
      <w:rPr>
        <w:sz w:val="22"/>
        <w:szCs w:val="22"/>
      </w:rPr>
    </w:sdtEndPr>
    <w:sdtContent>
      <w:p w14:paraId="2A3C2792" w14:textId="54FABF31" w:rsidR="00AE2E74" w:rsidRDefault="00844999" w:rsidP="00AE2E74">
        <w:pPr>
          <w:pStyle w:val="Footer"/>
          <w:pBdr>
            <w:bottom w:val="single" w:sz="12" w:space="1" w:color="auto"/>
          </w:pBdr>
          <w:tabs>
            <w:tab w:val="clear" w:pos="9026"/>
          </w:tabs>
          <w:ind w:right="118"/>
          <w:jc w:val="right"/>
          <w:rPr>
            <w:rFonts w:ascii="Baskerville Old Face" w:hAnsi="Baskerville Old Face"/>
            <w:i/>
            <w:iCs/>
            <w:sz w:val="24"/>
            <w:szCs w:val="24"/>
          </w:rPr>
        </w:pPr>
        <w:r>
          <w:rPr>
            <w:noProof/>
          </w:rPr>
          <mc:AlternateContent>
            <mc:Choice Requires="wps">
              <w:drawing>
                <wp:anchor distT="0" distB="0" distL="114300" distR="114300" simplePos="0" relativeHeight="251669504" behindDoc="0" locked="0" layoutInCell="1" allowOverlap="1" wp14:anchorId="3285A93F" wp14:editId="48481A2E">
                  <wp:simplePos x="0" y="0"/>
                  <wp:positionH relativeFrom="page">
                    <wp:posOffset>1724977</wp:posOffset>
                  </wp:positionH>
                  <wp:positionV relativeFrom="paragraph">
                    <wp:posOffset>-3861117</wp:posOffset>
                  </wp:positionV>
                  <wp:extent cx="11520000" cy="158750"/>
                  <wp:effectExtent l="3493" t="0" r="9207" b="9208"/>
                  <wp:wrapNone/>
                  <wp:docPr id="4" name="Rectangle 4"/>
                  <wp:cNvGraphicFramePr/>
                  <a:graphic xmlns:a="http://schemas.openxmlformats.org/drawingml/2006/main">
                    <a:graphicData uri="http://schemas.microsoft.com/office/word/2010/wordprocessingShape">
                      <wps:wsp>
                        <wps:cNvSpPr/>
                        <wps:spPr>
                          <a:xfrm rot="5400000">
                            <a:off x="0" y="0"/>
                            <a:ext cx="11520000" cy="1587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21565" id="Rectangle 4" o:spid="_x0000_s1026" style="position:absolute;margin-left:135.8pt;margin-top:-304pt;width:907.1pt;height:12.5pt;rotation:9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" fillcolor="#2f5496 [2404]" stroked="f" strokeweight="1pt">
                  <w10:wrap anchorx="page"/>
                </v:rect>
              </w:pict>
            </mc:Fallback>
          </mc:AlternateContent>
        </w:r>
      </w:p>
      <w:p w14:paraId="112CEA08" w14:textId="77777777" w:rsidR="00E27858" w:rsidRDefault="00E27858" w:rsidP="00AE2E74">
        <w:pPr>
          <w:pStyle w:val="Footer"/>
          <w:tabs>
            <w:tab w:val="clear" w:pos="9026"/>
          </w:tabs>
          <w:ind w:right="118"/>
          <w:jc w:val="right"/>
          <w:rPr>
            <w:rFonts w:ascii="Baskerville Old Face" w:hAnsi="Baskerville Old Face"/>
          </w:rPr>
        </w:pPr>
      </w:p>
      <w:p w14:paraId="60C6E175" w14:textId="5E6CDB7B" w:rsidR="00AE2E74" w:rsidRDefault="00AE2E74" w:rsidP="00AE2E74">
        <w:pPr>
          <w:pStyle w:val="Footer"/>
          <w:tabs>
            <w:tab w:val="clear" w:pos="9026"/>
          </w:tabs>
          <w:ind w:right="118"/>
          <w:jc w:val="right"/>
          <w:rPr>
            <w:rFonts w:ascii="Baskerville Old Face" w:hAnsi="Baskerville Old Face"/>
          </w:rPr>
        </w:pPr>
        <w:r w:rsidRPr="00E6401E">
          <w:rPr>
            <w:rFonts w:ascii="Baskerville Old Face" w:hAnsi="Baskerville Old Face"/>
          </w:rPr>
          <w:t xml:space="preserve">Page | </w:t>
        </w:r>
        <w:r w:rsidRPr="00E6401E">
          <w:rPr>
            <w:rFonts w:ascii="Baskerville Old Face" w:hAnsi="Baskerville Old Face"/>
          </w:rPr>
          <w:fldChar w:fldCharType="begin"/>
        </w:r>
        <w:r w:rsidRPr="00E6401E">
          <w:rPr>
            <w:rFonts w:ascii="Baskerville Old Face" w:hAnsi="Baskerville Old Face"/>
          </w:rPr>
          <w:instrText xml:space="preserve"> PAGE   \* MERGEFORMAT </w:instrText>
        </w:r>
        <w:r w:rsidRPr="00E6401E">
          <w:rPr>
            <w:rFonts w:ascii="Baskerville Old Face" w:hAnsi="Baskerville Old Face"/>
          </w:rPr>
          <w:fldChar w:fldCharType="separate"/>
        </w:r>
        <w:r>
          <w:rPr>
            <w:rFonts w:ascii="Baskerville Old Face" w:hAnsi="Baskerville Old Face"/>
          </w:rPr>
          <w:t>1</w:t>
        </w:r>
        <w:r w:rsidRPr="00E6401E">
          <w:rPr>
            <w:rFonts w:ascii="Baskerville Old Face" w:hAnsi="Baskerville Old Face"/>
            <w:noProof/>
          </w:rPr>
          <w:fldChar w:fldCharType="end"/>
        </w:r>
        <w:r w:rsidRPr="00E6401E">
          <w:rPr>
            <w:rFonts w:ascii="Baskerville Old Face" w:hAnsi="Baskerville Old Face"/>
          </w:rPr>
          <w:t xml:space="preserve"> </w:t>
        </w:r>
      </w:p>
      <w:p w14:paraId="48C4220A" w14:textId="116A3F41" w:rsidR="00AE2E74" w:rsidRPr="00F72EAF" w:rsidRDefault="00F72EAF" w:rsidP="00AE2E74">
        <w:pPr>
          <w:pStyle w:val="Footer"/>
          <w:ind w:right="118"/>
          <w:jc w:val="right"/>
          <w:rPr>
            <w:rFonts w:ascii="Baskerville Old Face" w:hAnsi="Baskerville Old Face"/>
            <w:i/>
            <w:iCs/>
          </w:rPr>
        </w:pPr>
        <w:r w:rsidRPr="00F72EAF">
          <w:rPr>
            <w:rFonts w:ascii="Baskerville Old Face" w:hAnsi="Baskerville Old Face"/>
            <w:i/>
            <w:iCs/>
          </w:rPr>
          <w:t>ITC refund under Inverted Rate Application – Retrospective Application</w:t>
        </w:r>
      </w:p>
    </w:sdtContent>
  </w:sdt>
  <w:p w14:paraId="275ABFFD" w14:textId="39AAE5CF" w:rsidR="00AE2E74" w:rsidRDefault="00AE2E74" w:rsidP="00AE2E74">
    <w:pPr>
      <w:pStyle w:val="Footer"/>
    </w:pPr>
  </w:p>
  <w:p w14:paraId="7C91568A" w14:textId="6C3F10A3" w:rsidR="00AE2E74" w:rsidRDefault="00990F6F">
    <w:pPr>
      <w:pStyle w:val="Footer"/>
    </w:pPr>
    <w:r>
      <w:rPr>
        <w:noProof/>
      </w:rPr>
      <mc:AlternateContent>
        <mc:Choice Requires="wps">
          <w:drawing>
            <wp:anchor distT="0" distB="0" distL="114300" distR="114300" simplePos="0" relativeHeight="251661312" behindDoc="0" locked="0" layoutInCell="1" allowOverlap="1" wp14:anchorId="03DD00A3" wp14:editId="7064558F">
              <wp:simplePos x="0" y="0"/>
              <wp:positionH relativeFrom="column">
                <wp:posOffset>-927100</wp:posOffset>
              </wp:positionH>
              <wp:positionV relativeFrom="paragraph">
                <wp:posOffset>122555</wp:posOffset>
              </wp:positionV>
              <wp:extent cx="7512050" cy="158750"/>
              <wp:effectExtent l="0" t="0" r="0" b="0"/>
              <wp:wrapNone/>
              <wp:docPr id="3" name="Rectangle 3"/>
              <wp:cNvGraphicFramePr/>
              <a:graphic xmlns:a="http://schemas.openxmlformats.org/drawingml/2006/main">
                <a:graphicData uri="http://schemas.microsoft.com/office/word/2010/wordprocessingShape">
                  <wps:wsp>
                    <wps:cNvSpPr/>
                    <wps:spPr>
                      <a:xfrm>
                        <a:off x="0" y="0"/>
                        <a:ext cx="7512050" cy="1587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60410" id="Rectangle 3" o:spid="_x0000_s1026" style="position:absolute;margin-left:-73pt;margin-top:9.65pt;width:591.5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" fillcolor="#2f5496 [240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C807" w14:textId="240EF45B" w:rsidR="000C4E1D" w:rsidRDefault="00F62C4B">
    <w:pPr>
      <w:pStyle w:val="Footer"/>
    </w:pPr>
    <w:r>
      <w:rPr>
        <w:noProof/>
      </w:rPr>
      <mc:AlternateContent>
        <mc:Choice Requires="wps">
          <w:drawing>
            <wp:anchor distT="0" distB="0" distL="114300" distR="114300" simplePos="0" relativeHeight="251667456" behindDoc="0" locked="0" layoutInCell="1" allowOverlap="1" wp14:anchorId="6CC11E7F" wp14:editId="3EA4CFA6">
              <wp:simplePos x="0" y="0"/>
              <wp:positionH relativeFrom="page">
                <wp:posOffset>1717992</wp:posOffset>
              </wp:positionH>
              <wp:positionV relativeFrom="paragraph">
                <wp:posOffset>-4742497</wp:posOffset>
              </wp:positionV>
              <wp:extent cx="11519535" cy="158750"/>
              <wp:effectExtent l="3493" t="0" r="9207" b="9208"/>
              <wp:wrapNone/>
              <wp:docPr id="68" name="Rectangle 68"/>
              <wp:cNvGraphicFramePr/>
              <a:graphic xmlns:a="http://schemas.openxmlformats.org/drawingml/2006/main">
                <a:graphicData uri="http://schemas.microsoft.com/office/word/2010/wordprocessingShape">
                  <wps:wsp>
                    <wps:cNvSpPr/>
                    <wps:spPr>
                      <a:xfrm rot="5400000">
                        <a:off x="0" y="0"/>
                        <a:ext cx="11519535" cy="1587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D32C8" id="Rectangle 68" o:spid="_x0000_s1026" style="position:absolute;margin-left:135.25pt;margin-top:-373.4pt;width:907.05pt;height:12.5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" fillcolor="#2f5496 [2404]" stroked="f" strokeweight="1pt">
              <w10:wrap anchorx="page"/>
            </v:rect>
          </w:pict>
        </mc:Fallback>
      </mc:AlternateContent>
    </w:r>
    <w:r w:rsidR="000C4E1D">
      <w:rPr>
        <w:noProof/>
      </w:rPr>
      <mc:AlternateContent>
        <mc:Choice Requires="wps">
          <w:drawing>
            <wp:anchor distT="0" distB="0" distL="114300" distR="114300" simplePos="0" relativeHeight="251665408" behindDoc="0" locked="0" layoutInCell="1" allowOverlap="1" wp14:anchorId="2B0F25E7" wp14:editId="2ECD44C3">
              <wp:simplePos x="0" y="0"/>
              <wp:positionH relativeFrom="column">
                <wp:posOffset>-920750</wp:posOffset>
              </wp:positionH>
              <wp:positionV relativeFrom="paragraph">
                <wp:posOffset>114300</wp:posOffset>
              </wp:positionV>
              <wp:extent cx="7512050" cy="158750"/>
              <wp:effectExtent l="0" t="0" r="0" b="0"/>
              <wp:wrapNone/>
              <wp:docPr id="67" name="Rectangle 67"/>
              <wp:cNvGraphicFramePr/>
              <a:graphic xmlns:a="http://schemas.openxmlformats.org/drawingml/2006/main">
                <a:graphicData uri="http://schemas.microsoft.com/office/word/2010/wordprocessingShape">
                  <wps:wsp>
                    <wps:cNvSpPr/>
                    <wps:spPr>
                      <a:xfrm>
                        <a:off x="0" y="0"/>
                        <a:ext cx="7512050" cy="1587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02BF1" id="Rectangle 67" o:spid="_x0000_s1026" style="position:absolute;margin-left:-72.5pt;margin-top:9pt;width:591.5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" fillcolor="#2f5496 [240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869A" w14:textId="77777777" w:rsidR="00CF0631" w:rsidRDefault="00CF0631" w:rsidP="005355F2">
      <w:pPr>
        <w:spacing w:after="0" w:line="240" w:lineRule="auto"/>
      </w:pPr>
      <w:r>
        <w:separator/>
      </w:r>
    </w:p>
  </w:footnote>
  <w:footnote w:type="continuationSeparator" w:id="0">
    <w:p w14:paraId="5083DD1F" w14:textId="77777777" w:rsidR="00CF0631" w:rsidRDefault="00CF0631" w:rsidP="005355F2">
      <w:pPr>
        <w:spacing w:after="0" w:line="240" w:lineRule="auto"/>
      </w:pPr>
      <w:r>
        <w:continuationSeparator/>
      </w:r>
    </w:p>
  </w:footnote>
  <w:footnote w:id="1">
    <w:p w14:paraId="5C97D92E" w14:textId="77777777" w:rsidR="006D596F" w:rsidRPr="008337B0" w:rsidRDefault="006D596F" w:rsidP="0093770F">
      <w:pPr>
        <w:pStyle w:val="FootnoteText"/>
        <w:spacing w:after="0"/>
        <w:rPr>
          <w:rFonts w:asciiTheme="majorHAnsi" w:hAnsiTheme="majorHAnsi"/>
          <w:sz w:val="16"/>
          <w:szCs w:val="16"/>
        </w:rPr>
      </w:pPr>
      <w:r w:rsidRPr="008337B0">
        <w:rPr>
          <w:rStyle w:val="FootnoteReference"/>
          <w:rFonts w:asciiTheme="majorHAnsi" w:hAnsiTheme="majorHAnsi"/>
          <w:sz w:val="16"/>
          <w:szCs w:val="16"/>
        </w:rPr>
        <w:footnoteRef/>
      </w:r>
      <w:r w:rsidRPr="008337B0">
        <w:rPr>
          <w:rFonts w:ascii="Bookman Old Style" w:hAnsi="Bookman Old Style"/>
          <w:sz w:val="16"/>
          <w:szCs w:val="16"/>
        </w:rPr>
        <w:t>See Tvl. Transtonnelstroy Afcons Joint Venture</w:t>
      </w:r>
      <w:r w:rsidRPr="008337B0">
        <w:rPr>
          <w:rFonts w:asciiTheme="majorHAnsi" w:hAnsiTheme="majorHAnsi"/>
          <w:sz w:val="16"/>
          <w:szCs w:val="16"/>
        </w:rPr>
        <w:t xml:space="preserve"> Writ Petition Nos 8596, 8597, 8602, 8603, 8605 and 8608 of 2019</w:t>
      </w:r>
    </w:p>
  </w:footnote>
  <w:footnote w:id="2">
    <w:p w14:paraId="4873B09F" w14:textId="77777777" w:rsidR="006D596F" w:rsidRPr="008337B0" w:rsidRDefault="006D596F" w:rsidP="0093770F">
      <w:pPr>
        <w:pStyle w:val="FootnoteText"/>
        <w:spacing w:after="0"/>
        <w:rPr>
          <w:rFonts w:asciiTheme="majorHAnsi" w:hAnsiTheme="majorHAnsi"/>
          <w:sz w:val="16"/>
          <w:szCs w:val="16"/>
        </w:rPr>
      </w:pPr>
      <w:r w:rsidRPr="008337B0">
        <w:rPr>
          <w:rStyle w:val="FootnoteReference"/>
          <w:rFonts w:asciiTheme="majorHAnsi" w:hAnsiTheme="majorHAnsi"/>
          <w:sz w:val="16"/>
          <w:szCs w:val="16"/>
        </w:rPr>
        <w:footnoteRef/>
      </w:r>
      <w:r w:rsidRPr="008337B0">
        <w:rPr>
          <w:rFonts w:ascii="Bookman Old Style" w:hAnsi="Bookman Old Style"/>
          <w:sz w:val="16"/>
          <w:szCs w:val="16"/>
        </w:rPr>
        <w:t xml:space="preserve">See VKC Footsteps India Pvt. Ltd., </w:t>
      </w:r>
      <w:r w:rsidRPr="008337B0">
        <w:rPr>
          <w:rFonts w:asciiTheme="majorHAnsi" w:hAnsiTheme="majorHAnsi"/>
          <w:sz w:val="16"/>
          <w:szCs w:val="16"/>
        </w:rPr>
        <w:t>R/ Special Civil Application No 2792 of 2019</w:t>
      </w:r>
    </w:p>
  </w:footnote>
  <w:footnote w:id="3">
    <w:p w14:paraId="194BA7B8" w14:textId="77777777" w:rsidR="006D596F" w:rsidRPr="008337B0" w:rsidRDefault="006D596F" w:rsidP="0093770F">
      <w:pPr>
        <w:pStyle w:val="FootnoteText"/>
        <w:spacing w:after="0"/>
        <w:rPr>
          <w:rFonts w:asciiTheme="majorHAnsi" w:hAnsiTheme="majorHAnsi"/>
          <w:sz w:val="16"/>
          <w:szCs w:val="16"/>
        </w:rPr>
      </w:pPr>
      <w:r w:rsidRPr="008337B0">
        <w:rPr>
          <w:rStyle w:val="FootnoteReference"/>
          <w:rFonts w:asciiTheme="majorHAnsi" w:hAnsiTheme="majorHAnsi"/>
          <w:sz w:val="16"/>
          <w:szCs w:val="16"/>
        </w:rPr>
        <w:footnoteRef/>
      </w:r>
      <w:r w:rsidRPr="008337B0">
        <w:rPr>
          <w:rFonts w:asciiTheme="majorHAnsi" w:hAnsiTheme="majorHAnsi"/>
          <w:sz w:val="16"/>
          <w:szCs w:val="16"/>
        </w:rPr>
        <w:t>See UOI Vs VKC Footsteps India Pvt. Ltd., Civil Appeal No. 4810 of 2021</w:t>
      </w:r>
    </w:p>
  </w:footnote>
  <w:footnote w:id="4">
    <w:p w14:paraId="066DFD29" w14:textId="77777777" w:rsidR="006D596F" w:rsidRPr="008337B0" w:rsidRDefault="006D596F" w:rsidP="0093770F">
      <w:pPr>
        <w:pStyle w:val="FootnoteText"/>
        <w:spacing w:after="0"/>
        <w:rPr>
          <w:rFonts w:asciiTheme="majorHAnsi" w:hAnsiTheme="majorHAnsi"/>
          <w:sz w:val="16"/>
          <w:szCs w:val="16"/>
        </w:rPr>
      </w:pPr>
      <w:r w:rsidRPr="008337B0">
        <w:rPr>
          <w:rStyle w:val="FootnoteReference"/>
          <w:rFonts w:asciiTheme="majorHAnsi" w:hAnsiTheme="majorHAnsi"/>
          <w:sz w:val="16"/>
          <w:szCs w:val="16"/>
        </w:rPr>
        <w:footnoteRef/>
      </w:r>
      <w:r w:rsidRPr="008337B0">
        <w:rPr>
          <w:rFonts w:asciiTheme="majorHAnsi" w:hAnsiTheme="majorHAnsi"/>
          <w:sz w:val="16"/>
          <w:szCs w:val="16"/>
        </w:rPr>
        <w:t>2005 (181) ELT 359 (SC)</w:t>
      </w:r>
    </w:p>
  </w:footnote>
  <w:footnote w:id="5">
    <w:p w14:paraId="4495D407" w14:textId="77777777" w:rsidR="006D596F" w:rsidRPr="008337B0" w:rsidRDefault="006D596F" w:rsidP="0093770F">
      <w:pPr>
        <w:pStyle w:val="FootnoteText"/>
        <w:spacing w:after="0"/>
        <w:rPr>
          <w:rFonts w:asciiTheme="majorHAnsi" w:hAnsiTheme="majorHAnsi"/>
          <w:sz w:val="16"/>
          <w:szCs w:val="16"/>
        </w:rPr>
      </w:pPr>
      <w:r w:rsidRPr="008337B0">
        <w:rPr>
          <w:rStyle w:val="FootnoteReference"/>
          <w:rFonts w:asciiTheme="majorHAnsi" w:hAnsiTheme="majorHAnsi"/>
          <w:sz w:val="16"/>
          <w:szCs w:val="16"/>
        </w:rPr>
        <w:footnoteRef/>
      </w:r>
      <w:r w:rsidRPr="008337B0">
        <w:rPr>
          <w:rFonts w:asciiTheme="majorHAnsi" w:hAnsiTheme="majorHAnsi"/>
          <w:sz w:val="16"/>
          <w:szCs w:val="16"/>
        </w:rPr>
        <w:t>2015 (324) ELT A34 (SC)</w:t>
      </w:r>
    </w:p>
  </w:footnote>
  <w:footnote w:id="6">
    <w:p w14:paraId="42F3EAFB" w14:textId="77777777" w:rsidR="006D596F" w:rsidRPr="008337B0" w:rsidRDefault="006D596F" w:rsidP="0093770F">
      <w:pPr>
        <w:pStyle w:val="FootnoteText"/>
        <w:spacing w:after="0"/>
        <w:rPr>
          <w:sz w:val="16"/>
          <w:szCs w:val="16"/>
        </w:rPr>
      </w:pPr>
      <w:r w:rsidRPr="008337B0">
        <w:rPr>
          <w:rStyle w:val="FootnoteReference"/>
          <w:sz w:val="16"/>
          <w:szCs w:val="16"/>
        </w:rPr>
        <w:footnoteRef/>
      </w:r>
      <w:r w:rsidRPr="008337B0">
        <w:rPr>
          <w:rFonts w:ascii="Bookman Old Style" w:hAnsi="Bookman Old Style"/>
          <w:sz w:val="16"/>
          <w:szCs w:val="16"/>
        </w:rPr>
        <w:t>(2015) 1 SCC 1</w:t>
      </w:r>
      <w:r>
        <w:rPr>
          <w:rFonts w:ascii="Bookman Old Style" w:hAnsi="Bookman Old Style"/>
          <w:sz w:val="16"/>
          <w:szCs w:val="16"/>
        </w:rPr>
        <w:t>, para 33</w:t>
      </w:r>
    </w:p>
  </w:footnote>
  <w:footnote w:id="7">
    <w:p w14:paraId="228A823E" w14:textId="77777777" w:rsidR="006D596F" w:rsidRPr="008337B0" w:rsidRDefault="006D596F" w:rsidP="0093770F">
      <w:pPr>
        <w:pStyle w:val="FootnoteText"/>
        <w:spacing w:after="0"/>
        <w:rPr>
          <w:rFonts w:asciiTheme="majorHAnsi" w:hAnsiTheme="majorHAnsi"/>
          <w:sz w:val="16"/>
          <w:szCs w:val="16"/>
        </w:rPr>
      </w:pPr>
      <w:r w:rsidRPr="008337B0">
        <w:rPr>
          <w:rStyle w:val="FootnoteReference"/>
          <w:rFonts w:asciiTheme="majorHAnsi" w:hAnsiTheme="majorHAnsi"/>
          <w:sz w:val="16"/>
          <w:szCs w:val="16"/>
        </w:rPr>
        <w:footnoteRef/>
      </w:r>
      <w:r w:rsidRPr="008337B0">
        <w:rPr>
          <w:rFonts w:asciiTheme="majorHAnsi" w:hAnsiTheme="majorHAnsi"/>
          <w:sz w:val="16"/>
          <w:szCs w:val="16"/>
        </w:rPr>
        <w:t>2019 (11) TMI 1246</w:t>
      </w:r>
    </w:p>
  </w:footnote>
  <w:footnote w:id="8">
    <w:p w14:paraId="36B33CF2" w14:textId="77777777" w:rsidR="006D596F" w:rsidRPr="008337B0" w:rsidRDefault="006D596F" w:rsidP="0093770F">
      <w:pPr>
        <w:pStyle w:val="FootnoteText"/>
        <w:spacing w:after="0"/>
        <w:rPr>
          <w:rFonts w:asciiTheme="majorHAnsi" w:hAnsiTheme="majorHAnsi"/>
          <w:sz w:val="16"/>
          <w:szCs w:val="16"/>
        </w:rPr>
      </w:pPr>
      <w:r w:rsidRPr="008337B0">
        <w:rPr>
          <w:rStyle w:val="FootnoteReference"/>
          <w:rFonts w:asciiTheme="majorHAnsi" w:hAnsiTheme="majorHAnsi"/>
          <w:sz w:val="16"/>
          <w:szCs w:val="16"/>
        </w:rPr>
        <w:footnoteRef/>
      </w:r>
      <w:r w:rsidRPr="008337B0">
        <w:rPr>
          <w:rFonts w:asciiTheme="majorHAnsi" w:hAnsiTheme="majorHAnsi"/>
          <w:sz w:val="16"/>
          <w:szCs w:val="16"/>
        </w:rPr>
        <w:t>2019 (8) TMI 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A418" w14:textId="77777777" w:rsidR="00F72EAF" w:rsidRDefault="00D84D6B" w:rsidP="00F72EAF">
    <w:pPr>
      <w:pStyle w:val="Footer"/>
      <w:tabs>
        <w:tab w:val="center" w:pos="4703"/>
        <w:tab w:val="right" w:pos="9406"/>
      </w:tabs>
      <w:ind w:right="-46"/>
      <w:contextualSpacing/>
      <w:jc w:val="right"/>
      <w:rPr>
        <w:rFonts w:ascii="Baskerville Old Face" w:hAnsi="Baskerville Old Face"/>
        <w:b/>
        <w:bCs/>
        <w:color w:val="002060"/>
        <w:sz w:val="26"/>
        <w:szCs w:val="26"/>
      </w:rPr>
    </w:pPr>
    <w:r>
      <w:rPr>
        <w:noProof/>
      </w:rPr>
      <mc:AlternateContent>
        <mc:Choice Requires="wps">
          <w:drawing>
            <wp:anchor distT="0" distB="0" distL="114300" distR="114300" simplePos="0" relativeHeight="251659264" behindDoc="0" locked="0" layoutInCell="1" allowOverlap="1" wp14:anchorId="19F0E28B" wp14:editId="7F8C88AC">
              <wp:simplePos x="0" y="0"/>
              <wp:positionH relativeFrom="page">
                <wp:posOffset>6350</wp:posOffset>
              </wp:positionH>
              <wp:positionV relativeFrom="paragraph">
                <wp:posOffset>-169545</wp:posOffset>
              </wp:positionV>
              <wp:extent cx="7486650" cy="482600"/>
              <wp:effectExtent l="0" t="0" r="57150" b="31750"/>
              <wp:wrapNone/>
              <wp:docPr id="48"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486650" cy="4826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49F3F"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5pt;margin-top:-13.35pt;width:589.5pt;height:38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" fillcolor="#4472c4 [3204]" strokecolor="#1f3763 [1604]" strokeweight="1pt">
              <v:path arrowok="t"/>
              <w10:wrap anchorx="page"/>
            </v:shape>
          </w:pict>
        </mc:Fallback>
      </mc:AlternateContent>
    </w:r>
    <w:r>
      <w:rPr>
        <w:rFonts w:ascii="Baskerville Old Face" w:hAnsi="Baskerville Old Face"/>
        <w:b/>
        <w:bCs/>
        <w:color w:val="002060"/>
        <w:sz w:val="26"/>
        <w:szCs w:val="26"/>
      </w:rPr>
      <w:tab/>
    </w:r>
  </w:p>
  <w:p w14:paraId="37A0412B" w14:textId="65D42558" w:rsidR="00D84D6B" w:rsidRPr="0003413F" w:rsidRDefault="00F72EAF" w:rsidP="006375BF">
    <w:pPr>
      <w:pStyle w:val="Footer"/>
      <w:tabs>
        <w:tab w:val="center" w:pos="4703"/>
        <w:tab w:val="right" w:pos="9406"/>
      </w:tabs>
      <w:ind w:right="-46"/>
      <w:contextualSpacing/>
      <w:jc w:val="right"/>
      <w:rPr>
        <w:rFonts w:ascii="Baskerville Old Face" w:hAnsi="Baskerville Old Face"/>
        <w:sz w:val="24"/>
        <w:szCs w:val="24"/>
      </w:rPr>
    </w:pPr>
    <w:r>
      <w:rPr>
        <w:rFonts w:ascii="Baskerville Old Face" w:hAnsi="Baskerville Old Face"/>
        <w:b/>
        <w:bCs/>
        <w:color w:val="002060"/>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E829" w14:textId="39B52D09" w:rsidR="00F62C4B" w:rsidRDefault="00F62C4B" w:rsidP="00F62C4B">
    <w:pPr>
      <w:spacing w:after="0" w:line="276" w:lineRule="auto"/>
      <w:ind w:left="-142" w:right="-188"/>
      <w:jc w:val="right"/>
      <w:rPr>
        <w:rFonts w:ascii="Book Antiqua" w:hAnsi="Book Antiqua"/>
        <w:b/>
        <w:bCs/>
        <w:color w:val="002060"/>
        <w:sz w:val="32"/>
        <w:szCs w:val="32"/>
      </w:rPr>
    </w:pPr>
    <w:r>
      <w:rPr>
        <w:noProof/>
      </w:rPr>
      <w:drawing>
        <wp:inline distT="0" distB="0" distL="0" distR="0" wp14:anchorId="768D7853" wp14:editId="2C4E01FD">
          <wp:extent cx="1863724" cy="518101"/>
          <wp:effectExtent l="0" t="0" r="3810" b="0"/>
          <wp:docPr id="77" name="Picture 7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3724" cy="518101"/>
                  </a:xfrm>
                  <a:prstGeom prst="rect">
                    <a:avLst/>
                  </a:prstGeom>
                </pic:spPr>
              </pic:pic>
            </a:graphicData>
          </a:graphic>
        </wp:inline>
      </w:drawing>
    </w:r>
  </w:p>
  <w:p w14:paraId="2703F419" w14:textId="0998440A" w:rsidR="000C4E1D" w:rsidRDefault="000C4E1D" w:rsidP="000C4E1D">
    <w:pPr>
      <w:spacing w:after="0" w:line="276" w:lineRule="auto"/>
      <w:ind w:left="-142" w:right="-188"/>
      <w:jc w:val="center"/>
      <w:rPr>
        <w:rFonts w:ascii="Book Antiqua" w:hAnsi="Book Antiqua"/>
        <w:b/>
        <w:bCs/>
        <w:color w:val="002060"/>
        <w:sz w:val="32"/>
        <w:szCs w:val="32"/>
      </w:rPr>
    </w:pPr>
    <w:r w:rsidRPr="00E23113">
      <w:rPr>
        <w:rFonts w:ascii="Book Antiqua" w:hAnsi="Book Antiqua"/>
        <w:b/>
        <w:bCs/>
        <w:color w:val="002060"/>
        <w:sz w:val="32"/>
        <w:szCs w:val="32"/>
      </w:rPr>
      <w:t xml:space="preserve">GST on Pre-packaged, Labelled Food Items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C5F"/>
    <w:multiLevelType w:val="hybridMultilevel"/>
    <w:tmpl w:val="4C10826C"/>
    <w:lvl w:ilvl="0" w:tplc="FB0231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AE4D4B"/>
    <w:multiLevelType w:val="hybridMultilevel"/>
    <w:tmpl w:val="0F68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D0FBB"/>
    <w:multiLevelType w:val="hybridMultilevel"/>
    <w:tmpl w:val="5D18FF42"/>
    <w:lvl w:ilvl="0" w:tplc="0C069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212DF"/>
    <w:multiLevelType w:val="hybridMultilevel"/>
    <w:tmpl w:val="AC9C8DD2"/>
    <w:lvl w:ilvl="0" w:tplc="922286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92E42"/>
    <w:multiLevelType w:val="hybridMultilevel"/>
    <w:tmpl w:val="17AC630E"/>
    <w:lvl w:ilvl="0" w:tplc="E356F2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87270"/>
    <w:multiLevelType w:val="hybridMultilevel"/>
    <w:tmpl w:val="F5264008"/>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6" w15:restartNumberingAfterBreak="0">
    <w:nsid w:val="2A564F24"/>
    <w:multiLevelType w:val="hybridMultilevel"/>
    <w:tmpl w:val="8FC4C90A"/>
    <w:lvl w:ilvl="0" w:tplc="9038553E">
      <w:start w:val="1"/>
      <w:numFmt w:val="lowerLetter"/>
      <w:lvlText w:val="(%1)"/>
      <w:lvlJc w:val="left"/>
      <w:pPr>
        <w:ind w:left="730" w:hanging="3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F5F1B44"/>
    <w:multiLevelType w:val="hybridMultilevel"/>
    <w:tmpl w:val="63E85014"/>
    <w:lvl w:ilvl="0" w:tplc="40090019">
      <w:start w:val="1"/>
      <w:numFmt w:val="lowerLetter"/>
      <w:lvlText w:val="%1."/>
      <w:lvlJc w:val="left"/>
      <w:pPr>
        <w:ind w:left="786" w:hanging="360"/>
      </w:p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8" w15:restartNumberingAfterBreak="0">
    <w:nsid w:val="36687598"/>
    <w:multiLevelType w:val="hybridMultilevel"/>
    <w:tmpl w:val="19240316"/>
    <w:lvl w:ilvl="0" w:tplc="9FD2E0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93E390F"/>
    <w:multiLevelType w:val="hybridMultilevel"/>
    <w:tmpl w:val="73C255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EA62B0E"/>
    <w:multiLevelType w:val="hybridMultilevel"/>
    <w:tmpl w:val="EE7CA054"/>
    <w:lvl w:ilvl="0" w:tplc="FFFFFFFF">
      <w:start w:val="1"/>
      <w:numFmt w:val="lowerLetter"/>
      <w:lvlText w:val="%1."/>
      <w:lvlJc w:val="left"/>
      <w:pPr>
        <w:ind w:left="720" w:hanging="360"/>
      </w:pPr>
      <w:rPr>
        <w:rFonts w:hint="default"/>
      </w:rPr>
    </w:lvl>
    <w:lvl w:ilvl="1" w:tplc="40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AD1328"/>
    <w:multiLevelType w:val="hybridMultilevel"/>
    <w:tmpl w:val="2D8C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54F7C"/>
    <w:multiLevelType w:val="hybridMultilevel"/>
    <w:tmpl w:val="49106750"/>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E316089"/>
    <w:multiLevelType w:val="hybridMultilevel"/>
    <w:tmpl w:val="7CFC63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18878B1"/>
    <w:multiLevelType w:val="hybridMultilevel"/>
    <w:tmpl w:val="ED265B14"/>
    <w:lvl w:ilvl="0" w:tplc="FBB882A4">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F0E1C"/>
    <w:multiLevelType w:val="hybridMultilevel"/>
    <w:tmpl w:val="9D30CD08"/>
    <w:lvl w:ilvl="0" w:tplc="165E932C">
      <w:numFmt w:val="bullet"/>
      <w:lvlText w:val="-"/>
      <w:lvlJc w:val="left"/>
      <w:pPr>
        <w:ind w:left="1080" w:hanging="360"/>
      </w:pPr>
      <w:rPr>
        <w:rFonts w:ascii="Cambria" w:eastAsiaTheme="minorHAnsi" w:hAnsi="Cambria"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6F4D27A8"/>
    <w:multiLevelType w:val="hybridMultilevel"/>
    <w:tmpl w:val="366C2B4A"/>
    <w:lvl w:ilvl="0" w:tplc="40090019">
      <w:start w:val="1"/>
      <w:numFmt w:val="lowerLetter"/>
      <w:lvlText w:val="%1."/>
      <w:lvlJc w:val="left"/>
      <w:pPr>
        <w:ind w:left="1429" w:hanging="360"/>
      </w:pPr>
    </w:lvl>
    <w:lvl w:ilvl="1" w:tplc="40090019">
      <w:start w:val="1"/>
      <w:numFmt w:val="lowerLetter"/>
      <w:lvlText w:val="%2."/>
      <w:lvlJc w:val="left"/>
      <w:pPr>
        <w:ind w:left="2149" w:hanging="360"/>
      </w:pPr>
    </w:lvl>
    <w:lvl w:ilvl="2" w:tplc="4009001B">
      <w:start w:val="1"/>
      <w:numFmt w:val="lowerRoman"/>
      <w:lvlText w:val="%3."/>
      <w:lvlJc w:val="right"/>
      <w:pPr>
        <w:ind w:left="2869" w:hanging="180"/>
      </w:pPr>
    </w:lvl>
    <w:lvl w:ilvl="3" w:tplc="4009000F">
      <w:start w:val="1"/>
      <w:numFmt w:val="decimal"/>
      <w:lvlText w:val="%4."/>
      <w:lvlJc w:val="left"/>
      <w:pPr>
        <w:ind w:left="3589" w:hanging="360"/>
      </w:pPr>
    </w:lvl>
    <w:lvl w:ilvl="4" w:tplc="40090019">
      <w:start w:val="1"/>
      <w:numFmt w:val="lowerLetter"/>
      <w:lvlText w:val="%5."/>
      <w:lvlJc w:val="left"/>
      <w:pPr>
        <w:ind w:left="4309" w:hanging="360"/>
      </w:pPr>
    </w:lvl>
    <w:lvl w:ilvl="5" w:tplc="4009001B">
      <w:start w:val="1"/>
      <w:numFmt w:val="lowerRoman"/>
      <w:lvlText w:val="%6."/>
      <w:lvlJc w:val="right"/>
      <w:pPr>
        <w:ind w:left="5029" w:hanging="180"/>
      </w:pPr>
    </w:lvl>
    <w:lvl w:ilvl="6" w:tplc="4009000F">
      <w:start w:val="1"/>
      <w:numFmt w:val="decimal"/>
      <w:lvlText w:val="%7."/>
      <w:lvlJc w:val="left"/>
      <w:pPr>
        <w:ind w:left="5749" w:hanging="360"/>
      </w:pPr>
    </w:lvl>
    <w:lvl w:ilvl="7" w:tplc="40090019">
      <w:start w:val="1"/>
      <w:numFmt w:val="lowerLetter"/>
      <w:lvlText w:val="%8."/>
      <w:lvlJc w:val="left"/>
      <w:pPr>
        <w:ind w:left="6469" w:hanging="360"/>
      </w:pPr>
    </w:lvl>
    <w:lvl w:ilvl="8" w:tplc="4009001B">
      <w:start w:val="1"/>
      <w:numFmt w:val="lowerRoman"/>
      <w:lvlText w:val="%9."/>
      <w:lvlJc w:val="right"/>
      <w:pPr>
        <w:ind w:left="7189" w:hanging="180"/>
      </w:pPr>
    </w:lvl>
  </w:abstractNum>
  <w:abstractNum w:abstractNumId="17" w15:restartNumberingAfterBreak="0">
    <w:nsid w:val="753664CE"/>
    <w:multiLevelType w:val="hybridMultilevel"/>
    <w:tmpl w:val="73C83234"/>
    <w:lvl w:ilvl="0" w:tplc="239456C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05CD7"/>
    <w:multiLevelType w:val="hybridMultilevel"/>
    <w:tmpl w:val="DADCB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76221637">
    <w:abstractNumId w:val="12"/>
  </w:num>
  <w:num w:numId="2" w16cid:durableId="1990212656">
    <w:abstractNumId w:val="6"/>
  </w:num>
  <w:num w:numId="3" w16cid:durableId="1637753804">
    <w:abstractNumId w:val="18"/>
  </w:num>
  <w:num w:numId="4" w16cid:durableId="1951473370">
    <w:abstractNumId w:val="9"/>
  </w:num>
  <w:num w:numId="5" w16cid:durableId="1058017815">
    <w:abstractNumId w:val="5"/>
  </w:num>
  <w:num w:numId="6" w16cid:durableId="974026257">
    <w:abstractNumId w:val="13"/>
  </w:num>
  <w:num w:numId="7" w16cid:durableId="1834954336">
    <w:abstractNumId w:val="8"/>
  </w:num>
  <w:num w:numId="8" w16cid:durableId="6123291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7272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0527919">
    <w:abstractNumId w:val="3"/>
  </w:num>
  <w:num w:numId="11" w16cid:durableId="1089738813">
    <w:abstractNumId w:val="2"/>
  </w:num>
  <w:num w:numId="12" w16cid:durableId="705132251">
    <w:abstractNumId w:val="17"/>
  </w:num>
  <w:num w:numId="13" w16cid:durableId="2143887204">
    <w:abstractNumId w:val="10"/>
  </w:num>
  <w:num w:numId="14" w16cid:durableId="1474062596">
    <w:abstractNumId w:val="14"/>
  </w:num>
  <w:num w:numId="15" w16cid:durableId="1645230233">
    <w:abstractNumId w:val="0"/>
  </w:num>
  <w:num w:numId="16" w16cid:durableId="1452242520">
    <w:abstractNumId w:val="4"/>
  </w:num>
  <w:num w:numId="17" w16cid:durableId="1576284913">
    <w:abstractNumId w:val="15"/>
  </w:num>
  <w:num w:numId="18" w16cid:durableId="1769422847">
    <w:abstractNumId w:val="11"/>
  </w:num>
  <w:num w:numId="19" w16cid:durableId="1597667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1MTM3M7Y0MTC2NDVR0lEKTi0uzszPAykwrQUA+xoHJiwAAAA="/>
  </w:docVars>
  <w:rsids>
    <w:rsidRoot w:val="00B75141"/>
    <w:rsid w:val="0000116C"/>
    <w:rsid w:val="00002A11"/>
    <w:rsid w:val="000306BD"/>
    <w:rsid w:val="000333AD"/>
    <w:rsid w:val="00042416"/>
    <w:rsid w:val="000436B9"/>
    <w:rsid w:val="00044FE0"/>
    <w:rsid w:val="00052DF3"/>
    <w:rsid w:val="00053258"/>
    <w:rsid w:val="0005731B"/>
    <w:rsid w:val="000619EF"/>
    <w:rsid w:val="00064E2B"/>
    <w:rsid w:val="00066C6C"/>
    <w:rsid w:val="00084693"/>
    <w:rsid w:val="000953AA"/>
    <w:rsid w:val="0009636C"/>
    <w:rsid w:val="000A1D66"/>
    <w:rsid w:val="000A3DF5"/>
    <w:rsid w:val="000B2E56"/>
    <w:rsid w:val="000B5E67"/>
    <w:rsid w:val="000B776D"/>
    <w:rsid w:val="000C4E1D"/>
    <w:rsid w:val="000C5075"/>
    <w:rsid w:val="000D0E91"/>
    <w:rsid w:val="000D3BF0"/>
    <w:rsid w:val="000D76AE"/>
    <w:rsid w:val="000E04AD"/>
    <w:rsid w:val="000E6699"/>
    <w:rsid w:val="000F230B"/>
    <w:rsid w:val="000F352B"/>
    <w:rsid w:val="000F742E"/>
    <w:rsid w:val="00101E44"/>
    <w:rsid w:val="0010354D"/>
    <w:rsid w:val="001067B0"/>
    <w:rsid w:val="00107492"/>
    <w:rsid w:val="00113103"/>
    <w:rsid w:val="0011558B"/>
    <w:rsid w:val="00115FDC"/>
    <w:rsid w:val="00132FF2"/>
    <w:rsid w:val="0014137F"/>
    <w:rsid w:val="0014403D"/>
    <w:rsid w:val="0014598D"/>
    <w:rsid w:val="00145B7D"/>
    <w:rsid w:val="00147753"/>
    <w:rsid w:val="001527CE"/>
    <w:rsid w:val="00167F8E"/>
    <w:rsid w:val="00173204"/>
    <w:rsid w:val="0017342D"/>
    <w:rsid w:val="001B2A80"/>
    <w:rsid w:val="001B5529"/>
    <w:rsid w:val="001B6077"/>
    <w:rsid w:val="001B7077"/>
    <w:rsid w:val="001B7A2B"/>
    <w:rsid w:val="001C1D6D"/>
    <w:rsid w:val="001C3148"/>
    <w:rsid w:val="001C59D9"/>
    <w:rsid w:val="001C60FC"/>
    <w:rsid w:val="001D2E72"/>
    <w:rsid w:val="001D6C5E"/>
    <w:rsid w:val="001D6F3C"/>
    <w:rsid w:val="001D7295"/>
    <w:rsid w:val="00201792"/>
    <w:rsid w:val="00207566"/>
    <w:rsid w:val="00216488"/>
    <w:rsid w:val="002179E6"/>
    <w:rsid w:val="00221D0C"/>
    <w:rsid w:val="00224B39"/>
    <w:rsid w:val="00224EA0"/>
    <w:rsid w:val="00233FBA"/>
    <w:rsid w:val="00236269"/>
    <w:rsid w:val="0023708E"/>
    <w:rsid w:val="0024043B"/>
    <w:rsid w:val="00241B46"/>
    <w:rsid w:val="002432D1"/>
    <w:rsid w:val="00243DC1"/>
    <w:rsid w:val="00247F58"/>
    <w:rsid w:val="00250FC5"/>
    <w:rsid w:val="002629E1"/>
    <w:rsid w:val="002668DD"/>
    <w:rsid w:val="002712D7"/>
    <w:rsid w:val="00277314"/>
    <w:rsid w:val="00283C64"/>
    <w:rsid w:val="00284639"/>
    <w:rsid w:val="00284B54"/>
    <w:rsid w:val="002855C6"/>
    <w:rsid w:val="00286058"/>
    <w:rsid w:val="0028689A"/>
    <w:rsid w:val="00291332"/>
    <w:rsid w:val="00296ED2"/>
    <w:rsid w:val="002A280B"/>
    <w:rsid w:val="002A763F"/>
    <w:rsid w:val="002C3444"/>
    <w:rsid w:val="002D3A31"/>
    <w:rsid w:val="002F1227"/>
    <w:rsid w:val="002F50E0"/>
    <w:rsid w:val="002F7F3A"/>
    <w:rsid w:val="00304AD7"/>
    <w:rsid w:val="00306B10"/>
    <w:rsid w:val="00333E89"/>
    <w:rsid w:val="00334AE3"/>
    <w:rsid w:val="00336884"/>
    <w:rsid w:val="00342240"/>
    <w:rsid w:val="0035099E"/>
    <w:rsid w:val="00353847"/>
    <w:rsid w:val="003605A5"/>
    <w:rsid w:val="00362A6E"/>
    <w:rsid w:val="003670B6"/>
    <w:rsid w:val="003709A1"/>
    <w:rsid w:val="00371E5F"/>
    <w:rsid w:val="00376E08"/>
    <w:rsid w:val="00384D98"/>
    <w:rsid w:val="00392610"/>
    <w:rsid w:val="00396995"/>
    <w:rsid w:val="003B4451"/>
    <w:rsid w:val="003C153E"/>
    <w:rsid w:val="003C236B"/>
    <w:rsid w:val="003C512B"/>
    <w:rsid w:val="003D13FC"/>
    <w:rsid w:val="003D654C"/>
    <w:rsid w:val="003F0A72"/>
    <w:rsid w:val="003F7A38"/>
    <w:rsid w:val="00400FFC"/>
    <w:rsid w:val="004042D4"/>
    <w:rsid w:val="00407B9E"/>
    <w:rsid w:val="0041466D"/>
    <w:rsid w:val="00416DC1"/>
    <w:rsid w:val="004171FE"/>
    <w:rsid w:val="004244C7"/>
    <w:rsid w:val="00431C7C"/>
    <w:rsid w:val="0043359D"/>
    <w:rsid w:val="004342D0"/>
    <w:rsid w:val="004371EB"/>
    <w:rsid w:val="00441676"/>
    <w:rsid w:val="00445352"/>
    <w:rsid w:val="0045138B"/>
    <w:rsid w:val="00466A8C"/>
    <w:rsid w:val="0047022B"/>
    <w:rsid w:val="00486CDE"/>
    <w:rsid w:val="004876A2"/>
    <w:rsid w:val="0049020E"/>
    <w:rsid w:val="004930E7"/>
    <w:rsid w:val="00496D7B"/>
    <w:rsid w:val="004B5956"/>
    <w:rsid w:val="004C09E5"/>
    <w:rsid w:val="004C3367"/>
    <w:rsid w:val="004C33DB"/>
    <w:rsid w:val="004C586C"/>
    <w:rsid w:val="004C7E9F"/>
    <w:rsid w:val="004D01AF"/>
    <w:rsid w:val="004E4113"/>
    <w:rsid w:val="00500A2C"/>
    <w:rsid w:val="005016E9"/>
    <w:rsid w:val="00502F65"/>
    <w:rsid w:val="00505344"/>
    <w:rsid w:val="0051128B"/>
    <w:rsid w:val="00517957"/>
    <w:rsid w:val="00517EF8"/>
    <w:rsid w:val="005215A3"/>
    <w:rsid w:val="00522549"/>
    <w:rsid w:val="005242DE"/>
    <w:rsid w:val="005354D8"/>
    <w:rsid w:val="005355F2"/>
    <w:rsid w:val="005377E3"/>
    <w:rsid w:val="00561724"/>
    <w:rsid w:val="0056304F"/>
    <w:rsid w:val="0057745E"/>
    <w:rsid w:val="00581625"/>
    <w:rsid w:val="005B3017"/>
    <w:rsid w:val="005C5B5C"/>
    <w:rsid w:val="005C5E5C"/>
    <w:rsid w:val="005D339E"/>
    <w:rsid w:val="005E298F"/>
    <w:rsid w:val="005E4276"/>
    <w:rsid w:val="005E47B9"/>
    <w:rsid w:val="005E6850"/>
    <w:rsid w:val="005E79B9"/>
    <w:rsid w:val="005F090B"/>
    <w:rsid w:val="005F37C0"/>
    <w:rsid w:val="005F45A6"/>
    <w:rsid w:val="005F6C6F"/>
    <w:rsid w:val="00601565"/>
    <w:rsid w:val="00602B4C"/>
    <w:rsid w:val="006108FE"/>
    <w:rsid w:val="00613F79"/>
    <w:rsid w:val="00616AA5"/>
    <w:rsid w:val="0063025D"/>
    <w:rsid w:val="0063158C"/>
    <w:rsid w:val="006375BF"/>
    <w:rsid w:val="006410B5"/>
    <w:rsid w:val="00644C2B"/>
    <w:rsid w:val="00654147"/>
    <w:rsid w:val="00665711"/>
    <w:rsid w:val="00666353"/>
    <w:rsid w:val="006700FB"/>
    <w:rsid w:val="00671C68"/>
    <w:rsid w:val="00672B1D"/>
    <w:rsid w:val="0068389A"/>
    <w:rsid w:val="00687DDC"/>
    <w:rsid w:val="006A1E15"/>
    <w:rsid w:val="006B3AC4"/>
    <w:rsid w:val="006C68B4"/>
    <w:rsid w:val="006C730E"/>
    <w:rsid w:val="006D0382"/>
    <w:rsid w:val="006D596F"/>
    <w:rsid w:val="006D6F4E"/>
    <w:rsid w:val="006D7A31"/>
    <w:rsid w:val="006E1669"/>
    <w:rsid w:val="006E290C"/>
    <w:rsid w:val="006E5C44"/>
    <w:rsid w:val="006F56E5"/>
    <w:rsid w:val="007027EB"/>
    <w:rsid w:val="00706B4B"/>
    <w:rsid w:val="0071216A"/>
    <w:rsid w:val="007174BA"/>
    <w:rsid w:val="0073161B"/>
    <w:rsid w:val="00735416"/>
    <w:rsid w:val="0073757F"/>
    <w:rsid w:val="007402A4"/>
    <w:rsid w:val="0074114C"/>
    <w:rsid w:val="00741BCC"/>
    <w:rsid w:val="00743E6F"/>
    <w:rsid w:val="007471F0"/>
    <w:rsid w:val="00747E86"/>
    <w:rsid w:val="00753E04"/>
    <w:rsid w:val="007623ED"/>
    <w:rsid w:val="00763FE2"/>
    <w:rsid w:val="00765FC4"/>
    <w:rsid w:val="007676E3"/>
    <w:rsid w:val="00773A28"/>
    <w:rsid w:val="0077531E"/>
    <w:rsid w:val="0078064D"/>
    <w:rsid w:val="0078085C"/>
    <w:rsid w:val="00780DD9"/>
    <w:rsid w:val="00784081"/>
    <w:rsid w:val="00784DF2"/>
    <w:rsid w:val="00797E4C"/>
    <w:rsid w:val="007A66F3"/>
    <w:rsid w:val="007B2380"/>
    <w:rsid w:val="007B4391"/>
    <w:rsid w:val="007C29E9"/>
    <w:rsid w:val="007C4E73"/>
    <w:rsid w:val="007C5C0A"/>
    <w:rsid w:val="007C7135"/>
    <w:rsid w:val="007D3515"/>
    <w:rsid w:val="007D4B8D"/>
    <w:rsid w:val="007E0219"/>
    <w:rsid w:val="007F186F"/>
    <w:rsid w:val="007F4973"/>
    <w:rsid w:val="008015A4"/>
    <w:rsid w:val="00802509"/>
    <w:rsid w:val="008038FA"/>
    <w:rsid w:val="0081061D"/>
    <w:rsid w:val="008129E6"/>
    <w:rsid w:val="00813BA2"/>
    <w:rsid w:val="00814079"/>
    <w:rsid w:val="008159EA"/>
    <w:rsid w:val="00820924"/>
    <w:rsid w:val="00825131"/>
    <w:rsid w:val="008261DD"/>
    <w:rsid w:val="008307C8"/>
    <w:rsid w:val="00834252"/>
    <w:rsid w:val="00844999"/>
    <w:rsid w:val="008478C8"/>
    <w:rsid w:val="00853007"/>
    <w:rsid w:val="00853807"/>
    <w:rsid w:val="0085476F"/>
    <w:rsid w:val="008570D2"/>
    <w:rsid w:val="00864D3A"/>
    <w:rsid w:val="0086717A"/>
    <w:rsid w:val="008709CD"/>
    <w:rsid w:val="00877E41"/>
    <w:rsid w:val="00880873"/>
    <w:rsid w:val="00883936"/>
    <w:rsid w:val="008A2012"/>
    <w:rsid w:val="008A3468"/>
    <w:rsid w:val="008A54BE"/>
    <w:rsid w:val="008A5D0D"/>
    <w:rsid w:val="008A6BBB"/>
    <w:rsid w:val="008A7AA8"/>
    <w:rsid w:val="008B0514"/>
    <w:rsid w:val="008B7FC1"/>
    <w:rsid w:val="008C17B1"/>
    <w:rsid w:val="008C24DE"/>
    <w:rsid w:val="008C6781"/>
    <w:rsid w:val="008D4051"/>
    <w:rsid w:val="008E1C79"/>
    <w:rsid w:val="008E74C9"/>
    <w:rsid w:val="008F4AC1"/>
    <w:rsid w:val="008F5718"/>
    <w:rsid w:val="008F5EFC"/>
    <w:rsid w:val="00900A31"/>
    <w:rsid w:val="00902024"/>
    <w:rsid w:val="009028F6"/>
    <w:rsid w:val="00902EC9"/>
    <w:rsid w:val="00910526"/>
    <w:rsid w:val="00910DC8"/>
    <w:rsid w:val="00915403"/>
    <w:rsid w:val="0092366C"/>
    <w:rsid w:val="00931461"/>
    <w:rsid w:val="0093331F"/>
    <w:rsid w:val="00933468"/>
    <w:rsid w:val="00934B50"/>
    <w:rsid w:val="0093770F"/>
    <w:rsid w:val="009418C5"/>
    <w:rsid w:val="009537CB"/>
    <w:rsid w:val="0095537C"/>
    <w:rsid w:val="00962BA8"/>
    <w:rsid w:val="00966600"/>
    <w:rsid w:val="00967820"/>
    <w:rsid w:val="00977A39"/>
    <w:rsid w:val="00990F6F"/>
    <w:rsid w:val="00991CE8"/>
    <w:rsid w:val="00992CD9"/>
    <w:rsid w:val="00992E3A"/>
    <w:rsid w:val="009B679F"/>
    <w:rsid w:val="009C09F5"/>
    <w:rsid w:val="009C4206"/>
    <w:rsid w:val="009D0C8D"/>
    <w:rsid w:val="009D2048"/>
    <w:rsid w:val="009D3980"/>
    <w:rsid w:val="009D5784"/>
    <w:rsid w:val="009F0AA3"/>
    <w:rsid w:val="009F229D"/>
    <w:rsid w:val="009F475F"/>
    <w:rsid w:val="009F7712"/>
    <w:rsid w:val="00A1161E"/>
    <w:rsid w:val="00A120CE"/>
    <w:rsid w:val="00A12699"/>
    <w:rsid w:val="00A13701"/>
    <w:rsid w:val="00A13E49"/>
    <w:rsid w:val="00A21B5A"/>
    <w:rsid w:val="00A24017"/>
    <w:rsid w:val="00A40A4D"/>
    <w:rsid w:val="00A415F5"/>
    <w:rsid w:val="00A45161"/>
    <w:rsid w:val="00A50783"/>
    <w:rsid w:val="00A5664D"/>
    <w:rsid w:val="00A608FC"/>
    <w:rsid w:val="00A60927"/>
    <w:rsid w:val="00A7242C"/>
    <w:rsid w:val="00A859CA"/>
    <w:rsid w:val="00A914CA"/>
    <w:rsid w:val="00A942CC"/>
    <w:rsid w:val="00A944E9"/>
    <w:rsid w:val="00AA0317"/>
    <w:rsid w:val="00AA0685"/>
    <w:rsid w:val="00AB7534"/>
    <w:rsid w:val="00AC13A0"/>
    <w:rsid w:val="00AC2F6F"/>
    <w:rsid w:val="00AC4EA2"/>
    <w:rsid w:val="00AD46FC"/>
    <w:rsid w:val="00AE2E74"/>
    <w:rsid w:val="00AF137F"/>
    <w:rsid w:val="00B00275"/>
    <w:rsid w:val="00B00775"/>
    <w:rsid w:val="00B03B72"/>
    <w:rsid w:val="00B047A4"/>
    <w:rsid w:val="00B16077"/>
    <w:rsid w:val="00B161C3"/>
    <w:rsid w:val="00B2015E"/>
    <w:rsid w:val="00B20D50"/>
    <w:rsid w:val="00B213FF"/>
    <w:rsid w:val="00B25D51"/>
    <w:rsid w:val="00B27F7E"/>
    <w:rsid w:val="00B41E65"/>
    <w:rsid w:val="00B46DEB"/>
    <w:rsid w:val="00B53637"/>
    <w:rsid w:val="00B538D0"/>
    <w:rsid w:val="00B549D7"/>
    <w:rsid w:val="00B57EE9"/>
    <w:rsid w:val="00B63555"/>
    <w:rsid w:val="00B6381D"/>
    <w:rsid w:val="00B72317"/>
    <w:rsid w:val="00B75141"/>
    <w:rsid w:val="00B76C18"/>
    <w:rsid w:val="00B76F4D"/>
    <w:rsid w:val="00B814E2"/>
    <w:rsid w:val="00B86E5B"/>
    <w:rsid w:val="00B9695B"/>
    <w:rsid w:val="00BA1C5A"/>
    <w:rsid w:val="00BA4582"/>
    <w:rsid w:val="00BA66CB"/>
    <w:rsid w:val="00BB12FA"/>
    <w:rsid w:val="00BB1546"/>
    <w:rsid w:val="00BB4860"/>
    <w:rsid w:val="00BC3DC8"/>
    <w:rsid w:val="00BC6584"/>
    <w:rsid w:val="00BE03B7"/>
    <w:rsid w:val="00BE2D93"/>
    <w:rsid w:val="00BE3DED"/>
    <w:rsid w:val="00BF144E"/>
    <w:rsid w:val="00BF2232"/>
    <w:rsid w:val="00BF2DFA"/>
    <w:rsid w:val="00C24F57"/>
    <w:rsid w:val="00C26245"/>
    <w:rsid w:val="00C30694"/>
    <w:rsid w:val="00C31015"/>
    <w:rsid w:val="00C35751"/>
    <w:rsid w:val="00C43BC1"/>
    <w:rsid w:val="00C5258B"/>
    <w:rsid w:val="00C52C52"/>
    <w:rsid w:val="00C540C7"/>
    <w:rsid w:val="00C6118A"/>
    <w:rsid w:val="00C63B85"/>
    <w:rsid w:val="00C7434B"/>
    <w:rsid w:val="00C7747D"/>
    <w:rsid w:val="00C779EC"/>
    <w:rsid w:val="00C938EB"/>
    <w:rsid w:val="00CB0584"/>
    <w:rsid w:val="00CB1E67"/>
    <w:rsid w:val="00CC03DE"/>
    <w:rsid w:val="00CD272E"/>
    <w:rsid w:val="00CD4746"/>
    <w:rsid w:val="00CE5076"/>
    <w:rsid w:val="00CF0631"/>
    <w:rsid w:val="00CF4EBA"/>
    <w:rsid w:val="00D031A2"/>
    <w:rsid w:val="00D118A5"/>
    <w:rsid w:val="00D13CD2"/>
    <w:rsid w:val="00D22291"/>
    <w:rsid w:val="00D2643A"/>
    <w:rsid w:val="00D40726"/>
    <w:rsid w:val="00D408C3"/>
    <w:rsid w:val="00D52977"/>
    <w:rsid w:val="00D55685"/>
    <w:rsid w:val="00D55907"/>
    <w:rsid w:val="00D60B39"/>
    <w:rsid w:val="00D662C9"/>
    <w:rsid w:val="00D67405"/>
    <w:rsid w:val="00D74E32"/>
    <w:rsid w:val="00D8191C"/>
    <w:rsid w:val="00D84D6B"/>
    <w:rsid w:val="00D920AC"/>
    <w:rsid w:val="00D96EC5"/>
    <w:rsid w:val="00DA1158"/>
    <w:rsid w:val="00DB3816"/>
    <w:rsid w:val="00DC7011"/>
    <w:rsid w:val="00DE383D"/>
    <w:rsid w:val="00DE443C"/>
    <w:rsid w:val="00DE577E"/>
    <w:rsid w:val="00E03866"/>
    <w:rsid w:val="00E07AD4"/>
    <w:rsid w:val="00E1113E"/>
    <w:rsid w:val="00E115FF"/>
    <w:rsid w:val="00E155E1"/>
    <w:rsid w:val="00E22C3B"/>
    <w:rsid w:val="00E23113"/>
    <w:rsid w:val="00E27858"/>
    <w:rsid w:val="00E30619"/>
    <w:rsid w:val="00E312F9"/>
    <w:rsid w:val="00E3300E"/>
    <w:rsid w:val="00E43903"/>
    <w:rsid w:val="00E507D2"/>
    <w:rsid w:val="00E50C48"/>
    <w:rsid w:val="00E56880"/>
    <w:rsid w:val="00E6309F"/>
    <w:rsid w:val="00E65104"/>
    <w:rsid w:val="00E714C5"/>
    <w:rsid w:val="00E735ED"/>
    <w:rsid w:val="00E74314"/>
    <w:rsid w:val="00E8319C"/>
    <w:rsid w:val="00E86105"/>
    <w:rsid w:val="00E94069"/>
    <w:rsid w:val="00EA29F7"/>
    <w:rsid w:val="00EB4C09"/>
    <w:rsid w:val="00ED01F4"/>
    <w:rsid w:val="00EF5337"/>
    <w:rsid w:val="00EF5699"/>
    <w:rsid w:val="00EF7F30"/>
    <w:rsid w:val="00F00705"/>
    <w:rsid w:val="00F3407A"/>
    <w:rsid w:val="00F35695"/>
    <w:rsid w:val="00F448E9"/>
    <w:rsid w:val="00F4775E"/>
    <w:rsid w:val="00F50900"/>
    <w:rsid w:val="00F53E71"/>
    <w:rsid w:val="00F61340"/>
    <w:rsid w:val="00F62C4B"/>
    <w:rsid w:val="00F64808"/>
    <w:rsid w:val="00F6677B"/>
    <w:rsid w:val="00F713A2"/>
    <w:rsid w:val="00F718C5"/>
    <w:rsid w:val="00F727E1"/>
    <w:rsid w:val="00F72E84"/>
    <w:rsid w:val="00F72EAF"/>
    <w:rsid w:val="00F7318F"/>
    <w:rsid w:val="00F739BA"/>
    <w:rsid w:val="00F77E75"/>
    <w:rsid w:val="00F82E81"/>
    <w:rsid w:val="00F83CF3"/>
    <w:rsid w:val="00F9506D"/>
    <w:rsid w:val="00FA1E17"/>
    <w:rsid w:val="00FA7238"/>
    <w:rsid w:val="00FB01FF"/>
    <w:rsid w:val="00FC156E"/>
    <w:rsid w:val="00FC2A89"/>
    <w:rsid w:val="00FC321B"/>
    <w:rsid w:val="00FC6C2F"/>
    <w:rsid w:val="00FC7460"/>
    <w:rsid w:val="00FD104C"/>
    <w:rsid w:val="00FD1106"/>
    <w:rsid w:val="00FD6BEC"/>
    <w:rsid w:val="00FD7056"/>
    <w:rsid w:val="00FF64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F3987"/>
  <w15:chartTrackingRefBased/>
  <w15:docId w15:val="{750AC067-584E-411F-AEDA-5A1C796E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C6F"/>
    <w:pPr>
      <w:ind w:left="720"/>
      <w:contextualSpacing/>
    </w:pPr>
  </w:style>
  <w:style w:type="character" w:customStyle="1" w:styleId="highlight">
    <w:name w:val="highlight"/>
    <w:basedOn w:val="DefaultParagraphFont"/>
    <w:rsid w:val="00934B50"/>
  </w:style>
  <w:style w:type="paragraph" w:customStyle="1" w:styleId="c-elt">
    <w:name w:val="c-elt"/>
    <w:basedOn w:val="Normal"/>
    <w:rsid w:val="008025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C5B5C"/>
    <w:rPr>
      <w:color w:val="0000FF"/>
      <w:u w:val="single"/>
    </w:rPr>
  </w:style>
  <w:style w:type="paragraph" w:customStyle="1" w:styleId="c-t1">
    <w:name w:val="c-t1"/>
    <w:basedOn w:val="Normal"/>
    <w:rsid w:val="008129E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rame">
    <w:name w:val="grame"/>
    <w:basedOn w:val="DefaultParagraphFont"/>
    <w:rsid w:val="008129E6"/>
  </w:style>
  <w:style w:type="paragraph" w:customStyle="1" w:styleId="c-versus">
    <w:name w:val="c-versus"/>
    <w:basedOn w:val="Normal"/>
    <w:rsid w:val="008129E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t2">
    <w:name w:val="c-t2"/>
    <w:basedOn w:val="Normal"/>
    <w:rsid w:val="008129E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9F0AA3"/>
    <w:rPr>
      <w:sz w:val="16"/>
      <w:szCs w:val="16"/>
    </w:rPr>
  </w:style>
  <w:style w:type="paragraph" w:styleId="CommentText">
    <w:name w:val="annotation text"/>
    <w:basedOn w:val="Normal"/>
    <w:link w:val="CommentTextChar"/>
    <w:uiPriority w:val="99"/>
    <w:unhideWhenUsed/>
    <w:rsid w:val="009F0AA3"/>
    <w:pPr>
      <w:spacing w:line="240" w:lineRule="auto"/>
    </w:pPr>
    <w:rPr>
      <w:sz w:val="20"/>
      <w:szCs w:val="20"/>
    </w:rPr>
  </w:style>
  <w:style w:type="character" w:customStyle="1" w:styleId="CommentTextChar">
    <w:name w:val="Comment Text Char"/>
    <w:basedOn w:val="DefaultParagraphFont"/>
    <w:link w:val="CommentText"/>
    <w:uiPriority w:val="99"/>
    <w:rsid w:val="009F0AA3"/>
    <w:rPr>
      <w:sz w:val="20"/>
      <w:szCs w:val="20"/>
    </w:rPr>
  </w:style>
  <w:style w:type="paragraph" w:styleId="CommentSubject">
    <w:name w:val="annotation subject"/>
    <w:basedOn w:val="CommentText"/>
    <w:next w:val="CommentText"/>
    <w:link w:val="CommentSubjectChar"/>
    <w:uiPriority w:val="99"/>
    <w:semiHidden/>
    <w:unhideWhenUsed/>
    <w:rsid w:val="009F0AA3"/>
    <w:rPr>
      <w:b/>
      <w:bCs/>
    </w:rPr>
  </w:style>
  <w:style w:type="character" w:customStyle="1" w:styleId="CommentSubjectChar">
    <w:name w:val="Comment Subject Char"/>
    <w:basedOn w:val="CommentTextChar"/>
    <w:link w:val="CommentSubject"/>
    <w:uiPriority w:val="99"/>
    <w:semiHidden/>
    <w:rsid w:val="009F0AA3"/>
    <w:rPr>
      <w:b/>
      <w:bCs/>
      <w:sz w:val="20"/>
      <w:szCs w:val="20"/>
    </w:rPr>
  </w:style>
  <w:style w:type="paragraph" w:styleId="Revision">
    <w:name w:val="Revision"/>
    <w:hidden/>
    <w:uiPriority w:val="99"/>
    <w:semiHidden/>
    <w:rsid w:val="006108FE"/>
    <w:pPr>
      <w:spacing w:after="0" w:line="240" w:lineRule="auto"/>
    </w:pPr>
  </w:style>
  <w:style w:type="paragraph" w:styleId="FootnoteText">
    <w:name w:val="footnote text"/>
    <w:basedOn w:val="Normal"/>
    <w:link w:val="FootnoteTextChar"/>
    <w:uiPriority w:val="99"/>
    <w:semiHidden/>
    <w:unhideWhenUsed/>
    <w:rsid w:val="005355F2"/>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5355F2"/>
    <w:rPr>
      <w:rFonts w:ascii="Calibri" w:eastAsia="Calibri" w:hAnsi="Calibri" w:cs="Times New Roman"/>
      <w:sz w:val="20"/>
      <w:szCs w:val="20"/>
      <w:lang w:val="en-US"/>
    </w:rPr>
  </w:style>
  <w:style w:type="character" w:styleId="FootnoteReference">
    <w:name w:val="footnote reference"/>
    <w:uiPriority w:val="99"/>
    <w:semiHidden/>
    <w:unhideWhenUsed/>
    <w:rsid w:val="005355F2"/>
    <w:rPr>
      <w:vertAlign w:val="superscript"/>
    </w:rPr>
  </w:style>
  <w:style w:type="character" w:customStyle="1" w:styleId="normaltextrun">
    <w:name w:val="normaltextrun"/>
    <w:rsid w:val="005355F2"/>
  </w:style>
  <w:style w:type="table" w:styleId="TableGrid">
    <w:name w:val="Table Grid"/>
    <w:basedOn w:val="TableNormal"/>
    <w:uiPriority w:val="59"/>
    <w:rsid w:val="0049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D6B"/>
  </w:style>
  <w:style w:type="paragraph" w:styleId="Footer">
    <w:name w:val="footer"/>
    <w:basedOn w:val="Normal"/>
    <w:link w:val="FooterChar"/>
    <w:uiPriority w:val="99"/>
    <w:unhideWhenUsed/>
    <w:rsid w:val="00D8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D6B"/>
  </w:style>
  <w:style w:type="character" w:styleId="UnresolvedMention">
    <w:name w:val="Unresolved Mention"/>
    <w:basedOn w:val="DefaultParagraphFont"/>
    <w:uiPriority w:val="99"/>
    <w:semiHidden/>
    <w:unhideWhenUsed/>
    <w:rsid w:val="00853007"/>
    <w:rPr>
      <w:color w:val="605E5C"/>
      <w:shd w:val="clear" w:color="auto" w:fill="E1DFDD"/>
    </w:rPr>
  </w:style>
  <w:style w:type="paragraph" w:customStyle="1" w:styleId="TableParagraph">
    <w:name w:val="Table Paragraph"/>
    <w:basedOn w:val="Normal"/>
    <w:uiPriority w:val="1"/>
    <w:qFormat/>
    <w:rsid w:val="009F475F"/>
    <w:pPr>
      <w:widowControl w:val="0"/>
      <w:autoSpaceDE w:val="0"/>
      <w:autoSpaceDN w:val="0"/>
      <w:spacing w:after="0" w:line="260" w:lineRule="exact"/>
      <w:ind w:left="109"/>
    </w:pPr>
    <w:rPr>
      <w:rFonts w:ascii="Bookman Old Style" w:eastAsia="Bookman Old Style" w:hAnsi="Bookman Old Style" w:cs="Bookman Old Style"/>
      <w:lang w:val="en-US"/>
    </w:rPr>
  </w:style>
  <w:style w:type="character" w:customStyle="1" w:styleId="fontstyle01">
    <w:name w:val="fontstyle01"/>
    <w:basedOn w:val="DefaultParagraphFont"/>
    <w:rsid w:val="000C4E1D"/>
    <w:rPr>
      <w:rFonts w:ascii="CIDFont+F4" w:hAnsi="CIDFont+F4" w:hint="default"/>
      <w:b w:val="0"/>
      <w:bCs w:val="0"/>
      <w:i/>
      <w:iCs/>
      <w:color w:val="002060"/>
      <w:sz w:val="22"/>
      <w:szCs w:val="22"/>
    </w:rPr>
  </w:style>
  <w:style w:type="paragraph" w:styleId="NoSpacing">
    <w:name w:val="No Spacing"/>
    <w:uiPriority w:val="1"/>
    <w:qFormat/>
    <w:rsid w:val="00937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0470">
      <w:bodyDiv w:val="1"/>
      <w:marLeft w:val="0"/>
      <w:marRight w:val="0"/>
      <w:marTop w:val="0"/>
      <w:marBottom w:val="0"/>
      <w:divBdr>
        <w:top w:val="none" w:sz="0" w:space="0" w:color="auto"/>
        <w:left w:val="none" w:sz="0" w:space="0" w:color="auto"/>
        <w:bottom w:val="none" w:sz="0" w:space="0" w:color="auto"/>
        <w:right w:val="none" w:sz="0" w:space="0" w:color="auto"/>
      </w:divBdr>
    </w:div>
    <w:div w:id="475411352">
      <w:bodyDiv w:val="1"/>
      <w:marLeft w:val="0"/>
      <w:marRight w:val="0"/>
      <w:marTop w:val="0"/>
      <w:marBottom w:val="0"/>
      <w:divBdr>
        <w:top w:val="none" w:sz="0" w:space="0" w:color="auto"/>
        <w:left w:val="none" w:sz="0" w:space="0" w:color="auto"/>
        <w:bottom w:val="none" w:sz="0" w:space="0" w:color="auto"/>
        <w:right w:val="none" w:sz="0" w:space="0" w:color="auto"/>
      </w:divBdr>
      <w:divsChild>
        <w:div w:id="925071232">
          <w:marLeft w:val="0"/>
          <w:marRight w:val="0"/>
          <w:marTop w:val="0"/>
          <w:marBottom w:val="0"/>
          <w:divBdr>
            <w:top w:val="none" w:sz="0" w:space="0" w:color="auto"/>
            <w:left w:val="none" w:sz="0" w:space="0" w:color="auto"/>
            <w:bottom w:val="none" w:sz="0" w:space="0" w:color="auto"/>
            <w:right w:val="none" w:sz="0" w:space="0" w:color="auto"/>
          </w:divBdr>
        </w:div>
      </w:divsChild>
    </w:div>
    <w:div w:id="518280531">
      <w:bodyDiv w:val="1"/>
      <w:marLeft w:val="0"/>
      <w:marRight w:val="0"/>
      <w:marTop w:val="0"/>
      <w:marBottom w:val="0"/>
      <w:divBdr>
        <w:top w:val="none" w:sz="0" w:space="0" w:color="auto"/>
        <w:left w:val="none" w:sz="0" w:space="0" w:color="auto"/>
        <w:bottom w:val="none" w:sz="0" w:space="0" w:color="auto"/>
        <w:right w:val="none" w:sz="0" w:space="0" w:color="auto"/>
      </w:divBdr>
    </w:div>
    <w:div w:id="838085273">
      <w:bodyDiv w:val="1"/>
      <w:marLeft w:val="0"/>
      <w:marRight w:val="0"/>
      <w:marTop w:val="0"/>
      <w:marBottom w:val="0"/>
      <w:divBdr>
        <w:top w:val="none" w:sz="0" w:space="0" w:color="auto"/>
        <w:left w:val="none" w:sz="0" w:space="0" w:color="auto"/>
        <w:bottom w:val="none" w:sz="0" w:space="0" w:color="auto"/>
        <w:right w:val="none" w:sz="0" w:space="0" w:color="auto"/>
      </w:divBdr>
    </w:div>
    <w:div w:id="922882685">
      <w:bodyDiv w:val="1"/>
      <w:marLeft w:val="0"/>
      <w:marRight w:val="0"/>
      <w:marTop w:val="0"/>
      <w:marBottom w:val="0"/>
      <w:divBdr>
        <w:top w:val="none" w:sz="0" w:space="0" w:color="auto"/>
        <w:left w:val="none" w:sz="0" w:space="0" w:color="auto"/>
        <w:bottom w:val="none" w:sz="0" w:space="0" w:color="auto"/>
        <w:right w:val="none" w:sz="0" w:space="0" w:color="auto"/>
      </w:divBdr>
    </w:div>
    <w:div w:id="988630779">
      <w:bodyDiv w:val="1"/>
      <w:marLeft w:val="0"/>
      <w:marRight w:val="0"/>
      <w:marTop w:val="0"/>
      <w:marBottom w:val="0"/>
      <w:divBdr>
        <w:top w:val="none" w:sz="0" w:space="0" w:color="auto"/>
        <w:left w:val="none" w:sz="0" w:space="0" w:color="auto"/>
        <w:bottom w:val="none" w:sz="0" w:space="0" w:color="auto"/>
        <w:right w:val="none" w:sz="0" w:space="0" w:color="auto"/>
      </w:divBdr>
      <w:divsChild>
        <w:div w:id="8917642">
          <w:marLeft w:val="0"/>
          <w:marRight w:val="0"/>
          <w:marTop w:val="0"/>
          <w:marBottom w:val="0"/>
          <w:divBdr>
            <w:top w:val="none" w:sz="0" w:space="0" w:color="auto"/>
            <w:left w:val="none" w:sz="0" w:space="0" w:color="auto"/>
            <w:bottom w:val="none" w:sz="0" w:space="0" w:color="auto"/>
            <w:right w:val="none" w:sz="0" w:space="0" w:color="auto"/>
          </w:divBdr>
        </w:div>
      </w:divsChild>
    </w:div>
    <w:div w:id="1265068166">
      <w:bodyDiv w:val="1"/>
      <w:marLeft w:val="0"/>
      <w:marRight w:val="0"/>
      <w:marTop w:val="0"/>
      <w:marBottom w:val="0"/>
      <w:divBdr>
        <w:top w:val="none" w:sz="0" w:space="0" w:color="auto"/>
        <w:left w:val="none" w:sz="0" w:space="0" w:color="auto"/>
        <w:bottom w:val="none" w:sz="0" w:space="0" w:color="auto"/>
        <w:right w:val="none" w:sz="0" w:space="0" w:color="auto"/>
      </w:divBdr>
      <w:divsChild>
        <w:div w:id="1111894671">
          <w:marLeft w:val="0"/>
          <w:marRight w:val="0"/>
          <w:marTop w:val="0"/>
          <w:marBottom w:val="0"/>
          <w:divBdr>
            <w:top w:val="none" w:sz="0" w:space="0" w:color="auto"/>
            <w:left w:val="none" w:sz="0" w:space="0" w:color="auto"/>
            <w:bottom w:val="none" w:sz="0" w:space="0" w:color="auto"/>
            <w:right w:val="none" w:sz="0" w:space="0" w:color="auto"/>
          </w:divBdr>
        </w:div>
      </w:divsChild>
    </w:div>
    <w:div w:id="1300957632">
      <w:bodyDiv w:val="1"/>
      <w:marLeft w:val="0"/>
      <w:marRight w:val="0"/>
      <w:marTop w:val="0"/>
      <w:marBottom w:val="0"/>
      <w:divBdr>
        <w:top w:val="none" w:sz="0" w:space="0" w:color="auto"/>
        <w:left w:val="none" w:sz="0" w:space="0" w:color="auto"/>
        <w:bottom w:val="none" w:sz="0" w:space="0" w:color="auto"/>
        <w:right w:val="none" w:sz="0" w:space="0" w:color="auto"/>
      </w:divBdr>
      <w:divsChild>
        <w:div w:id="1823157873">
          <w:marLeft w:val="0"/>
          <w:marRight w:val="0"/>
          <w:marTop w:val="0"/>
          <w:marBottom w:val="0"/>
          <w:divBdr>
            <w:top w:val="none" w:sz="0" w:space="0" w:color="auto"/>
            <w:left w:val="none" w:sz="0" w:space="0" w:color="auto"/>
            <w:bottom w:val="none" w:sz="0" w:space="0" w:color="auto"/>
            <w:right w:val="none" w:sz="0" w:space="0" w:color="auto"/>
          </w:divBdr>
        </w:div>
      </w:divsChild>
    </w:div>
    <w:div w:id="1582060397">
      <w:bodyDiv w:val="1"/>
      <w:marLeft w:val="0"/>
      <w:marRight w:val="0"/>
      <w:marTop w:val="0"/>
      <w:marBottom w:val="0"/>
      <w:divBdr>
        <w:top w:val="none" w:sz="0" w:space="0" w:color="auto"/>
        <w:left w:val="none" w:sz="0" w:space="0" w:color="auto"/>
        <w:bottom w:val="none" w:sz="0" w:space="0" w:color="auto"/>
        <w:right w:val="none" w:sz="0" w:space="0" w:color="auto"/>
      </w:divBdr>
      <w:divsChild>
        <w:div w:id="2111316770">
          <w:marLeft w:val="0"/>
          <w:marRight w:val="0"/>
          <w:marTop w:val="0"/>
          <w:marBottom w:val="0"/>
          <w:divBdr>
            <w:top w:val="none" w:sz="0" w:space="0" w:color="auto"/>
            <w:left w:val="none" w:sz="0" w:space="0" w:color="auto"/>
            <w:bottom w:val="none" w:sz="0" w:space="0" w:color="auto"/>
            <w:right w:val="none" w:sz="0" w:space="0" w:color="auto"/>
          </w:divBdr>
        </w:div>
      </w:divsChild>
    </w:div>
    <w:div w:id="1621108932">
      <w:bodyDiv w:val="1"/>
      <w:marLeft w:val="0"/>
      <w:marRight w:val="0"/>
      <w:marTop w:val="0"/>
      <w:marBottom w:val="0"/>
      <w:divBdr>
        <w:top w:val="none" w:sz="0" w:space="0" w:color="auto"/>
        <w:left w:val="none" w:sz="0" w:space="0" w:color="auto"/>
        <w:bottom w:val="none" w:sz="0" w:space="0" w:color="auto"/>
        <w:right w:val="none" w:sz="0" w:space="0" w:color="auto"/>
      </w:divBdr>
    </w:div>
    <w:div w:id="1702586844">
      <w:bodyDiv w:val="1"/>
      <w:marLeft w:val="0"/>
      <w:marRight w:val="0"/>
      <w:marTop w:val="0"/>
      <w:marBottom w:val="0"/>
      <w:divBdr>
        <w:top w:val="none" w:sz="0" w:space="0" w:color="auto"/>
        <w:left w:val="none" w:sz="0" w:space="0" w:color="auto"/>
        <w:bottom w:val="none" w:sz="0" w:space="0" w:color="auto"/>
        <w:right w:val="none" w:sz="0" w:space="0" w:color="auto"/>
      </w:divBdr>
    </w:div>
    <w:div w:id="18311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poojajajwani@hiregange.com"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ailto:ashish@hiregange.com" TargetMode="Externa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eader" Target="header2.xml" /></Relationships>
</file>

<file path=word/_rels/header2.xml.rels><?xml version="1.0" encoding="UTF-8" standalone="yes"?>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9637-9D92-4FED-99D4-17DA014CE0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Ravi KumarSomani</dc:creator>
  <cp:keywords/>
  <dc:description/>
  <cp:lastModifiedBy>pooja jajwani</cp:lastModifiedBy>
  <cp:revision>2</cp:revision>
  <cp:lastPrinted>2022-07-22T02:13:00Z</cp:lastPrinted>
  <dcterms:created xsi:type="dcterms:W3CDTF">2022-07-22T02:25:00Z</dcterms:created>
  <dcterms:modified xsi:type="dcterms:W3CDTF">2022-07-22T02:25:00Z</dcterms:modified>
</cp:coreProperties>
</file>